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D5" w:rsidRPr="00DB11FC" w:rsidRDefault="004B2282" w:rsidP="004B2282">
      <w:pPr>
        <w:pStyle w:val="Titel"/>
        <w:rPr>
          <w:sz w:val="48"/>
          <w:lang w:val="nl-NL"/>
        </w:rPr>
      </w:pPr>
      <w:r w:rsidRPr="00DB11FC">
        <w:rPr>
          <w:sz w:val="48"/>
          <w:lang w:val="nl-NL"/>
        </w:rPr>
        <w:t>S</w:t>
      </w:r>
      <w:r w:rsidR="00C467D5" w:rsidRPr="00DB11FC">
        <w:rPr>
          <w:sz w:val="48"/>
          <w:lang w:val="nl-NL"/>
        </w:rPr>
        <w:t>tatistiek – Werkcollege 4 / Hoofdstuk 5</w:t>
      </w:r>
    </w:p>
    <w:p w:rsidR="004B2282" w:rsidRPr="004B2282" w:rsidRDefault="004B2282" w:rsidP="004B2282">
      <w:pPr>
        <w:pStyle w:val="Subtitel"/>
        <w:rPr>
          <w:i w:val="0"/>
          <w:lang w:val="nl-NL"/>
        </w:rPr>
      </w:pPr>
    </w:p>
    <w:p w:rsidR="004B2282" w:rsidRPr="004B2282" w:rsidRDefault="004B2282" w:rsidP="004B2282">
      <w:pPr>
        <w:pStyle w:val="Subtitel"/>
        <w:rPr>
          <w:lang w:val="nl-NL"/>
        </w:rPr>
      </w:pPr>
      <w:r>
        <w:rPr>
          <w:lang w:val="nl-NL"/>
        </w:rPr>
        <w:t>Vraag 1</w:t>
      </w:r>
    </w:p>
    <w:p w:rsidR="00C467D5" w:rsidRPr="004B2282" w:rsidRDefault="004B2282" w:rsidP="003D5E72">
      <w:pPr>
        <w:jc w:val="both"/>
        <w:rPr>
          <w:lang w:val="nl-NL"/>
        </w:rPr>
      </w:pPr>
      <w:r>
        <w:rPr>
          <w:lang w:val="nl-NL"/>
        </w:rPr>
        <w:t>A</w:t>
      </w:r>
      <w:r w:rsidR="00C467D5" w:rsidRPr="004B2282">
        <w:rPr>
          <w:lang w:val="nl-NL"/>
        </w:rPr>
        <w:t>)</w:t>
      </w:r>
      <w:r w:rsidR="00C467D5" w:rsidRPr="004B2282">
        <w:rPr>
          <w:lang w:val="nl-NL"/>
        </w:rPr>
        <w:tab/>
      </w:r>
      <w:r w:rsidR="00F55992" w:rsidRPr="004B2282">
        <w:rPr>
          <w:lang w:val="nl-NL"/>
        </w:rPr>
        <w:t xml:space="preserve">Dan gaan we maar de </w:t>
      </w:r>
      <w:proofErr w:type="spellStart"/>
      <w:r w:rsidR="00F55992" w:rsidRPr="004B2282">
        <w:rPr>
          <w:lang w:val="nl-NL"/>
        </w:rPr>
        <w:t>Dixon</w:t>
      </w:r>
      <w:proofErr w:type="spellEnd"/>
      <w:r w:rsidR="00F55992" w:rsidRPr="004B2282">
        <w:rPr>
          <w:lang w:val="nl-NL"/>
        </w:rPr>
        <w:t xml:space="preserve"> </w:t>
      </w:r>
      <w:proofErr w:type="spellStart"/>
      <w:r w:rsidR="00F55992" w:rsidRPr="004B2282">
        <w:rPr>
          <w:lang w:val="nl-NL"/>
        </w:rPr>
        <w:t>Q-test</w:t>
      </w:r>
      <w:proofErr w:type="spellEnd"/>
      <w:r w:rsidR="00F55992" w:rsidRPr="004B2282">
        <w:rPr>
          <w:lang w:val="nl-NL"/>
        </w:rPr>
        <w:t xml:space="preserve"> uitvoeren. </w:t>
      </w:r>
    </w:p>
    <w:p w:rsidR="00F55992" w:rsidRPr="004B2282" w:rsidRDefault="00F55992" w:rsidP="003D5E72">
      <w:pPr>
        <w:jc w:val="both"/>
        <w:rPr>
          <w:lang w:val="nl-NL"/>
        </w:rPr>
      </w:pPr>
    </w:p>
    <w:p w:rsidR="00F55992" w:rsidRDefault="00F55992" w:rsidP="003D5E72">
      <w:pPr>
        <w:jc w:val="both"/>
      </w:pPr>
      <w:r w:rsidRPr="004B2282">
        <w:rPr>
          <w:lang w:val="nl-NL"/>
        </w:rPr>
        <w:tab/>
      </w:r>
      <w:r w:rsidRPr="00F55992">
        <w:rPr>
          <w:position w:val="-32"/>
        </w:rPr>
        <w:object w:dxaOrig="5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37.2pt" o:ole="">
            <v:imagedata r:id="rId5" o:title=""/>
          </v:shape>
          <o:OLEObject Type="Embed" ProgID="Equation.3" ShapeID="_x0000_i1025" DrawAspect="Content" ObjectID="_1317748180" r:id="rId6"/>
        </w:object>
      </w:r>
    </w:p>
    <w:p w:rsidR="00F55992" w:rsidRPr="004C7A85" w:rsidRDefault="00F55992" w:rsidP="003D5E72">
      <w:pPr>
        <w:jc w:val="both"/>
        <w:rPr>
          <w:lang w:val="nl-NL"/>
        </w:rPr>
      </w:pPr>
      <w:r>
        <w:tab/>
      </w:r>
      <w:proofErr w:type="spellStart"/>
      <w:r w:rsidRPr="004C7A85">
        <w:rPr>
          <w:lang w:val="nl-NL"/>
        </w:rPr>
        <w:t>Q</w:t>
      </w:r>
      <w:r w:rsidRPr="004C7A85">
        <w:rPr>
          <w:vertAlign w:val="subscript"/>
          <w:lang w:val="nl-NL"/>
        </w:rPr>
        <w:t>tab</w:t>
      </w:r>
      <w:proofErr w:type="spellEnd"/>
      <w:r w:rsidRPr="004C7A85">
        <w:rPr>
          <w:vertAlign w:val="subscript"/>
          <w:lang w:val="nl-NL"/>
        </w:rPr>
        <w:t>,n=9,</w:t>
      </w:r>
      <w:r>
        <w:rPr>
          <w:vertAlign w:val="subscript"/>
        </w:rPr>
        <w:t>α</w:t>
      </w:r>
      <w:r w:rsidRPr="004C7A85">
        <w:rPr>
          <w:vertAlign w:val="subscript"/>
          <w:lang w:val="nl-NL"/>
        </w:rPr>
        <w:t>=0.05</w:t>
      </w:r>
      <w:r w:rsidRPr="004C7A85">
        <w:rPr>
          <w:lang w:val="nl-NL"/>
        </w:rPr>
        <w:t xml:space="preserve"> = 0.492. </w:t>
      </w:r>
      <w:proofErr w:type="spellStart"/>
      <w:r w:rsidRPr="004C7A85">
        <w:rPr>
          <w:lang w:val="nl-NL"/>
        </w:rPr>
        <w:t>Q</w:t>
      </w:r>
      <w:r w:rsidRPr="004C7A85">
        <w:rPr>
          <w:vertAlign w:val="subscript"/>
          <w:lang w:val="nl-NL"/>
        </w:rPr>
        <w:t>cal</w:t>
      </w:r>
      <w:proofErr w:type="spellEnd"/>
      <w:r w:rsidRPr="004C7A85">
        <w:rPr>
          <w:lang w:val="nl-NL"/>
        </w:rPr>
        <w:t xml:space="preserve"> &gt; </w:t>
      </w:r>
      <w:proofErr w:type="spellStart"/>
      <w:r w:rsidRPr="004C7A85">
        <w:rPr>
          <w:lang w:val="nl-NL"/>
        </w:rPr>
        <w:t>Q</w:t>
      </w:r>
      <w:r w:rsidRPr="004C7A85">
        <w:rPr>
          <w:vertAlign w:val="subscript"/>
          <w:lang w:val="nl-NL"/>
        </w:rPr>
        <w:t>tab</w:t>
      </w:r>
      <w:proofErr w:type="spellEnd"/>
      <w:r w:rsidRPr="004C7A85">
        <w:rPr>
          <w:lang w:val="nl-NL"/>
        </w:rPr>
        <w:t xml:space="preserve"> dus we nemen aan dat dit een uitbijter is.</w:t>
      </w:r>
    </w:p>
    <w:p w:rsidR="00D02A9E" w:rsidRPr="004C7A85" w:rsidRDefault="00D02A9E" w:rsidP="003D5E72">
      <w:pPr>
        <w:jc w:val="both"/>
        <w:rPr>
          <w:lang w:val="nl-NL"/>
        </w:rPr>
      </w:pPr>
    </w:p>
    <w:p w:rsidR="004B2282" w:rsidRDefault="00F55992" w:rsidP="00AF6A4C">
      <w:pPr>
        <w:ind w:left="705" w:hanging="705"/>
        <w:jc w:val="both"/>
        <w:rPr>
          <w:lang w:val="nl-NL"/>
        </w:rPr>
      </w:pPr>
      <w:r w:rsidRPr="00AF6A4C">
        <w:rPr>
          <w:lang w:val="nl-NL"/>
        </w:rPr>
        <w:t>B)</w:t>
      </w:r>
      <w:r w:rsidRPr="00AF6A4C">
        <w:rPr>
          <w:lang w:val="nl-NL"/>
        </w:rPr>
        <w:tab/>
      </w:r>
      <w:r w:rsidR="00AF6A4C" w:rsidRPr="00AF6A4C">
        <w:rPr>
          <w:lang w:val="nl-NL"/>
        </w:rPr>
        <w:t xml:space="preserve">Aangezien we grenzeloos vertrouwen in de analist hebben (wat ik wat </w:t>
      </w:r>
      <w:proofErr w:type="spellStart"/>
      <w:r w:rsidR="00AF6A4C" w:rsidRPr="00AF6A4C">
        <w:rPr>
          <w:lang w:val="nl-NL"/>
        </w:rPr>
        <w:t>dubious</w:t>
      </w:r>
      <w:proofErr w:type="spellEnd"/>
      <w:r w:rsidR="00AF6A4C" w:rsidRPr="00AF6A4C">
        <w:rPr>
          <w:lang w:val="nl-NL"/>
        </w:rPr>
        <w:t xml:space="preserve"> vind) gaan we de</w:t>
      </w:r>
      <w:r w:rsidR="004B2282">
        <w:rPr>
          <w:lang w:val="nl-NL"/>
        </w:rPr>
        <w:t xml:space="preserve"> </w:t>
      </w:r>
      <w:proofErr w:type="spellStart"/>
      <w:r w:rsidR="004B2282">
        <w:rPr>
          <w:lang w:val="nl-NL"/>
        </w:rPr>
        <w:t>Wilcoxon-signed-rank</w:t>
      </w:r>
      <w:proofErr w:type="spellEnd"/>
      <w:r w:rsidR="004B2282">
        <w:rPr>
          <w:lang w:val="nl-NL"/>
        </w:rPr>
        <w:t xml:space="preserve"> </w:t>
      </w:r>
      <w:r w:rsidR="00AF6A4C">
        <w:rPr>
          <w:lang w:val="nl-NL"/>
        </w:rPr>
        <w:t>doen</w:t>
      </w:r>
      <w:r w:rsidR="004B2282">
        <w:rPr>
          <w:lang w:val="nl-NL"/>
        </w:rPr>
        <w:t>.</w:t>
      </w:r>
      <w:r w:rsidR="00AF6A4C">
        <w:rPr>
          <w:lang w:val="nl-NL"/>
        </w:rPr>
        <w:t xml:space="preserve"> </w:t>
      </w:r>
      <w:r w:rsidR="004B2282" w:rsidRPr="004B2282">
        <w:rPr>
          <w:lang w:val="nl-NL"/>
        </w:rPr>
        <w:t>H</w:t>
      </w:r>
      <w:r w:rsidR="004B2282">
        <w:rPr>
          <w:vertAlign w:val="subscript"/>
          <w:lang w:val="nl-NL"/>
        </w:rPr>
        <w:t>0</w:t>
      </w:r>
      <w:r w:rsidR="004B2282">
        <w:rPr>
          <w:lang w:val="nl-NL"/>
        </w:rPr>
        <w:t>: waarnemingen komen uit verzameling met 0.0997M als mediaan. H</w:t>
      </w:r>
      <w:r w:rsidR="004B2282">
        <w:rPr>
          <w:vertAlign w:val="subscript"/>
          <w:lang w:val="nl-NL"/>
        </w:rPr>
        <w:t>1</w:t>
      </w:r>
      <w:r w:rsidR="004B2282">
        <w:rPr>
          <w:lang w:val="nl-NL"/>
        </w:rPr>
        <w:t xml:space="preserve">: dit is niet het geval. </w:t>
      </w:r>
    </w:p>
    <w:p w:rsidR="00C64FCF" w:rsidRDefault="00C64FCF" w:rsidP="004B2282">
      <w:pPr>
        <w:ind w:left="705"/>
        <w:jc w:val="both"/>
        <w:rPr>
          <w:lang w:val="nl-NL"/>
        </w:rPr>
      </w:pPr>
      <w:r>
        <w:rPr>
          <w:lang w:val="nl-NL"/>
        </w:rPr>
        <w:t>Uitvoeren van test:</w:t>
      </w:r>
    </w:p>
    <w:tbl>
      <w:tblPr>
        <w:tblpPr w:leftFromText="141" w:rightFromText="141" w:vertAnchor="text" w:horzAnchor="margin" w:tblpXSpec="center" w:tblpY="288"/>
        <w:tblW w:w="0" w:type="auto"/>
        <w:tblCellMar>
          <w:left w:w="70" w:type="dxa"/>
          <w:right w:w="70" w:type="dxa"/>
        </w:tblCellMar>
        <w:tblLook w:val="04A0"/>
      </w:tblPr>
      <w:tblGrid>
        <w:gridCol w:w="1506"/>
        <w:gridCol w:w="642"/>
        <w:gridCol w:w="642"/>
        <w:gridCol w:w="642"/>
        <w:gridCol w:w="642"/>
        <w:gridCol w:w="642"/>
        <w:gridCol w:w="642"/>
        <w:gridCol w:w="642"/>
        <w:gridCol w:w="697"/>
        <w:gridCol w:w="642"/>
      </w:tblGrid>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Referentiewaarde:</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0,0997</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Waarden:</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0,1013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0,1005</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0,1011</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strike/>
                <w:color w:val="000000"/>
                <w:sz w:val="18"/>
                <w:lang w:val="nl-NL" w:eastAsia="nl-NL" w:bidi="ar-SA"/>
              </w:rPr>
              <w:t>0,0912</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0,1008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0,0968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0,1017</w:t>
            </w: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 xml:space="preserve">Verschil </w:t>
            </w:r>
            <w:proofErr w:type="spellStart"/>
            <w:r w:rsidRPr="004B2282">
              <w:rPr>
                <w:rFonts w:ascii="Calibri" w:eastAsia="Times New Roman" w:hAnsi="Calibri" w:cs="Times New Roman"/>
                <w:color w:val="000000"/>
                <w:sz w:val="18"/>
                <w:lang w:val="nl-NL" w:eastAsia="nl-NL" w:bidi="ar-SA"/>
              </w:rPr>
              <w:t>ref</w:t>
            </w:r>
            <w:proofErr w:type="spellEnd"/>
            <w:r w:rsidRPr="004B2282">
              <w:rPr>
                <w:rFonts w:ascii="Calibri" w:eastAsia="Times New Roman" w:hAnsi="Calibri" w:cs="Times New Roman"/>
                <w:color w:val="000000"/>
                <w:sz w:val="18"/>
                <w:lang w:val="nl-NL" w:eastAsia="nl-NL" w:bidi="ar-SA"/>
              </w:rPr>
              <w:t>:</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0,0016</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0,0014</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0,0011</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-0,0029</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0,002</w:t>
            </w: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Gesorteerd:</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0,0008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0,0011</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0,0014</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0,0016</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0,002</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-0,0029</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Rang:</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1,5</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1,5</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3</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4</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5</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6</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7</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T-</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T+</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28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r w:rsidR="00C64FCF" w:rsidRPr="004B2282" w:rsidTr="00C64FCF">
        <w:trPr>
          <w:trHeight w:val="300"/>
        </w:trPr>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roofErr w:type="spellStart"/>
            <w:r w:rsidRPr="004B2282">
              <w:rPr>
                <w:rFonts w:ascii="Calibri" w:eastAsia="Times New Roman" w:hAnsi="Calibri" w:cs="Times New Roman"/>
                <w:color w:val="000000"/>
                <w:sz w:val="18"/>
                <w:lang w:val="nl-NL" w:eastAsia="nl-NL" w:bidi="ar-SA"/>
              </w:rPr>
              <w:t>Tcal</w:t>
            </w:r>
            <w:proofErr w:type="spellEnd"/>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jc w:val="right"/>
              <w:rPr>
                <w:rFonts w:ascii="Calibri" w:eastAsia="Times New Roman" w:hAnsi="Calibri" w:cs="Times New Roman"/>
                <w:color w:val="000000"/>
                <w:sz w:val="18"/>
                <w:lang w:val="nl-NL" w:eastAsia="nl-NL" w:bidi="ar-SA"/>
              </w:rPr>
            </w:pPr>
            <w:r w:rsidRPr="004B2282">
              <w:rPr>
                <w:rFonts w:ascii="Calibri" w:eastAsia="Times New Roman" w:hAnsi="Calibri" w:cs="Times New Roman"/>
                <w:color w:val="000000"/>
                <w:sz w:val="18"/>
                <w:lang w:val="nl-NL" w:eastAsia="nl-NL" w:bidi="ar-SA"/>
              </w:rPr>
              <w:t>8</w:t>
            </w: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c>
          <w:tcPr>
            <w:tcW w:w="0" w:type="auto"/>
            <w:tcBorders>
              <w:top w:val="nil"/>
              <w:left w:val="nil"/>
              <w:bottom w:val="nil"/>
              <w:right w:val="nil"/>
            </w:tcBorders>
            <w:shd w:val="clear" w:color="auto" w:fill="auto"/>
            <w:noWrap/>
            <w:vAlign w:val="bottom"/>
            <w:hideMark/>
          </w:tcPr>
          <w:p w:rsidR="00C64FCF" w:rsidRPr="004B2282" w:rsidRDefault="00C64FCF" w:rsidP="00C64FCF">
            <w:pPr>
              <w:spacing w:after="0" w:line="240" w:lineRule="auto"/>
              <w:rPr>
                <w:rFonts w:ascii="Calibri" w:eastAsia="Times New Roman" w:hAnsi="Calibri" w:cs="Times New Roman"/>
                <w:color w:val="000000"/>
                <w:sz w:val="18"/>
                <w:lang w:val="nl-NL" w:eastAsia="nl-NL" w:bidi="ar-SA"/>
              </w:rPr>
            </w:pPr>
          </w:p>
        </w:tc>
      </w:tr>
    </w:tbl>
    <w:p w:rsidR="004B2282" w:rsidRDefault="004B2282" w:rsidP="004B2282">
      <w:pPr>
        <w:jc w:val="both"/>
        <w:rPr>
          <w:lang w:val="nl-NL"/>
        </w:rPr>
      </w:pPr>
      <w:r>
        <w:rPr>
          <w:lang w:val="nl-NL"/>
        </w:rPr>
        <w:tab/>
      </w:r>
    </w:p>
    <w:p w:rsidR="00C64FCF" w:rsidRDefault="00C64FCF" w:rsidP="004B2282">
      <w:pPr>
        <w:jc w:val="both"/>
        <w:rPr>
          <w:lang w:val="nl-NL"/>
        </w:rPr>
      </w:pPr>
    </w:p>
    <w:p w:rsidR="00C64FCF" w:rsidRDefault="00C64FCF" w:rsidP="004B2282">
      <w:pPr>
        <w:jc w:val="both"/>
        <w:rPr>
          <w:lang w:val="nl-NL"/>
        </w:rPr>
      </w:pPr>
    </w:p>
    <w:p w:rsidR="00C64FCF" w:rsidRDefault="00C64FCF" w:rsidP="004B2282">
      <w:pPr>
        <w:ind w:left="705"/>
        <w:jc w:val="both"/>
        <w:rPr>
          <w:rStyle w:val="Subtielebenadrukking"/>
        </w:rPr>
      </w:pPr>
    </w:p>
    <w:p w:rsidR="00C64FCF" w:rsidRDefault="00C64FCF" w:rsidP="004B2282">
      <w:pPr>
        <w:ind w:left="705"/>
        <w:jc w:val="both"/>
        <w:rPr>
          <w:rStyle w:val="Subtielebenadrukking"/>
        </w:rPr>
      </w:pPr>
    </w:p>
    <w:p w:rsidR="00C64FCF" w:rsidRDefault="00C64FCF" w:rsidP="004B2282">
      <w:pPr>
        <w:ind w:left="705"/>
        <w:jc w:val="both"/>
        <w:rPr>
          <w:rStyle w:val="Subtielebenadrukking"/>
        </w:rPr>
      </w:pPr>
    </w:p>
    <w:p w:rsidR="00C64FCF" w:rsidRDefault="00C64FCF" w:rsidP="004B2282">
      <w:pPr>
        <w:ind w:left="705"/>
        <w:jc w:val="both"/>
        <w:rPr>
          <w:rStyle w:val="Subtielebenadrukking"/>
        </w:rPr>
      </w:pPr>
    </w:p>
    <w:p w:rsidR="00C64FCF" w:rsidRPr="00C64FCF" w:rsidRDefault="00C64FCF" w:rsidP="00C64FCF">
      <w:pPr>
        <w:ind w:left="705"/>
        <w:rPr>
          <w:rStyle w:val="Zwaar"/>
          <w:b w:val="0"/>
          <w:lang w:val="nl-NL"/>
        </w:rPr>
      </w:pPr>
      <w:proofErr w:type="spellStart"/>
      <w:r w:rsidRPr="00C64FCF">
        <w:rPr>
          <w:rStyle w:val="Zwaar"/>
          <w:b w:val="0"/>
          <w:lang w:val="nl-NL"/>
        </w:rPr>
        <w:t>T</w:t>
      </w:r>
      <w:r w:rsidRPr="00C64FCF">
        <w:rPr>
          <w:rStyle w:val="Zwaar"/>
          <w:b w:val="0"/>
          <w:vertAlign w:val="subscript"/>
          <w:lang w:val="nl-NL"/>
        </w:rPr>
        <w:t>tab</w:t>
      </w:r>
      <w:proofErr w:type="spellEnd"/>
      <w:r w:rsidRPr="00C64FCF">
        <w:rPr>
          <w:rStyle w:val="Zwaar"/>
          <w:b w:val="0"/>
          <w:lang w:val="nl-NL"/>
        </w:rPr>
        <w:t xml:space="preserve"> is 3 (tabel A.9), dus </w:t>
      </w:r>
      <w:proofErr w:type="spellStart"/>
      <w:r w:rsidRPr="00C64FCF">
        <w:rPr>
          <w:rStyle w:val="Zwaar"/>
          <w:b w:val="0"/>
          <w:lang w:val="nl-NL"/>
        </w:rPr>
        <w:t>T</w:t>
      </w:r>
      <w:r>
        <w:rPr>
          <w:rStyle w:val="Zwaar"/>
          <w:b w:val="0"/>
          <w:vertAlign w:val="subscript"/>
          <w:lang w:val="nl-NL"/>
        </w:rPr>
        <w:t>cal</w:t>
      </w:r>
      <w:proofErr w:type="spellEnd"/>
      <w:r>
        <w:rPr>
          <w:rStyle w:val="Zwaar"/>
          <w:b w:val="0"/>
          <w:lang w:val="nl-NL"/>
        </w:rPr>
        <w:t xml:space="preserve"> &gt; </w:t>
      </w:r>
      <w:proofErr w:type="spellStart"/>
      <w:r>
        <w:rPr>
          <w:rStyle w:val="Zwaar"/>
          <w:b w:val="0"/>
          <w:lang w:val="nl-NL"/>
        </w:rPr>
        <w:t>T</w:t>
      </w:r>
      <w:r>
        <w:rPr>
          <w:rStyle w:val="Zwaar"/>
          <w:b w:val="0"/>
          <w:vertAlign w:val="subscript"/>
          <w:lang w:val="nl-NL"/>
        </w:rPr>
        <w:t>tab</w:t>
      </w:r>
      <w:proofErr w:type="spellEnd"/>
      <w:r>
        <w:rPr>
          <w:rStyle w:val="Zwaar"/>
          <w:b w:val="0"/>
          <w:lang w:val="nl-NL"/>
        </w:rPr>
        <w:t>, en de nulhypothese wordt geaccepteerd (</w:t>
      </w:r>
      <w:r>
        <w:rPr>
          <w:rStyle w:val="Zwaar"/>
          <w:b w:val="0"/>
          <w:i/>
          <w:lang w:val="nl-NL"/>
        </w:rPr>
        <w:t xml:space="preserve">tegenovergesteld aan wat normaal gebeurt als </w:t>
      </w:r>
      <w:proofErr w:type="spellStart"/>
      <w:r>
        <w:rPr>
          <w:rStyle w:val="Zwaar"/>
          <w:b w:val="0"/>
          <w:i/>
          <w:lang w:val="nl-NL"/>
        </w:rPr>
        <w:t>T</w:t>
      </w:r>
      <w:r>
        <w:rPr>
          <w:rStyle w:val="Zwaar"/>
          <w:b w:val="0"/>
          <w:i/>
          <w:vertAlign w:val="subscript"/>
          <w:lang w:val="nl-NL"/>
        </w:rPr>
        <w:t>cal</w:t>
      </w:r>
      <w:proofErr w:type="spellEnd"/>
      <w:r>
        <w:rPr>
          <w:rStyle w:val="Zwaar"/>
          <w:b w:val="0"/>
          <w:i/>
          <w:lang w:val="nl-NL"/>
        </w:rPr>
        <w:t xml:space="preserve"> &gt; </w:t>
      </w:r>
      <w:proofErr w:type="spellStart"/>
      <w:r>
        <w:rPr>
          <w:rStyle w:val="Zwaar"/>
          <w:b w:val="0"/>
          <w:i/>
          <w:lang w:val="nl-NL"/>
        </w:rPr>
        <w:t>T</w:t>
      </w:r>
      <w:r>
        <w:rPr>
          <w:rStyle w:val="Zwaar"/>
          <w:b w:val="0"/>
          <w:i/>
          <w:vertAlign w:val="subscript"/>
          <w:lang w:val="nl-NL"/>
        </w:rPr>
        <w:t>tab</w:t>
      </w:r>
      <w:proofErr w:type="spellEnd"/>
      <w:r>
        <w:rPr>
          <w:rStyle w:val="Zwaar"/>
          <w:b w:val="0"/>
          <w:i/>
          <w:lang w:val="nl-NL"/>
        </w:rPr>
        <w:t>!)</w:t>
      </w:r>
      <w:r>
        <w:rPr>
          <w:rStyle w:val="Zwaar"/>
          <w:b w:val="0"/>
          <w:lang w:val="nl-NL"/>
        </w:rPr>
        <w:t>. Waarschijnlijk zit de zaal dus op dezelfde lijn als de analist.</w:t>
      </w:r>
    </w:p>
    <w:p w:rsidR="00484387" w:rsidRDefault="00AF6A4C" w:rsidP="00AF6A4C">
      <w:pPr>
        <w:ind w:left="705" w:hanging="705"/>
        <w:jc w:val="both"/>
      </w:pPr>
      <w:r>
        <w:rPr>
          <w:lang w:val="nl-NL"/>
        </w:rPr>
        <w:t>C)</w:t>
      </w:r>
      <w:r>
        <w:rPr>
          <w:lang w:val="nl-NL"/>
        </w:rPr>
        <w:tab/>
      </w:r>
      <w:r w:rsidR="0042068E" w:rsidRPr="008807E7">
        <w:rPr>
          <w:lang w:val="nl-NL"/>
        </w:rPr>
        <w:t xml:space="preserve">Aangezien we twee reeksen waarnemingen willen vergelijken pakken we de </w:t>
      </w:r>
      <w:proofErr w:type="spellStart"/>
      <w:r w:rsidR="0042068E" w:rsidRPr="008807E7">
        <w:rPr>
          <w:lang w:val="nl-NL"/>
        </w:rPr>
        <w:t>Mann-Whitney</w:t>
      </w:r>
      <w:proofErr w:type="spellEnd"/>
      <w:r w:rsidR="0042068E" w:rsidRPr="008807E7">
        <w:rPr>
          <w:lang w:val="nl-NL"/>
        </w:rPr>
        <w:t xml:space="preserve"> </w:t>
      </w:r>
      <w:proofErr w:type="spellStart"/>
      <w:r w:rsidR="0042068E" w:rsidRPr="008807E7">
        <w:rPr>
          <w:lang w:val="nl-NL"/>
        </w:rPr>
        <w:t>U-test</w:t>
      </w:r>
      <w:proofErr w:type="spellEnd"/>
      <w:r w:rsidR="0042068E" w:rsidRPr="008807E7">
        <w:rPr>
          <w:lang w:val="nl-NL"/>
        </w:rPr>
        <w:t xml:space="preserve"> (‘tegenhanger van de </w:t>
      </w:r>
      <w:proofErr w:type="spellStart"/>
      <w:r w:rsidR="0042068E" w:rsidRPr="008807E7">
        <w:rPr>
          <w:lang w:val="nl-NL"/>
        </w:rPr>
        <w:t>two</w:t>
      </w:r>
      <w:proofErr w:type="spellEnd"/>
      <w:r w:rsidR="0042068E" w:rsidRPr="008807E7">
        <w:rPr>
          <w:lang w:val="nl-NL"/>
        </w:rPr>
        <w:t xml:space="preserve"> sample </w:t>
      </w:r>
      <w:proofErr w:type="spellStart"/>
      <w:r w:rsidR="0042068E" w:rsidRPr="008807E7">
        <w:rPr>
          <w:lang w:val="nl-NL"/>
        </w:rPr>
        <w:t>t-toets</w:t>
      </w:r>
      <w:proofErr w:type="spellEnd"/>
      <w:r w:rsidR="0042068E" w:rsidRPr="008807E7">
        <w:rPr>
          <w:lang w:val="nl-NL"/>
        </w:rPr>
        <w:t xml:space="preserve">). </w:t>
      </w:r>
      <w:r w:rsidR="0042068E" w:rsidRPr="0042068E">
        <w:rPr>
          <w:lang w:val="nl-NL"/>
        </w:rPr>
        <w:t>H</w:t>
      </w:r>
      <w:r w:rsidR="0042068E" w:rsidRPr="0042068E">
        <w:rPr>
          <w:vertAlign w:val="subscript"/>
          <w:lang w:val="nl-NL"/>
        </w:rPr>
        <w:t>0</w:t>
      </w:r>
      <w:r w:rsidR="0042068E" w:rsidRPr="0042068E">
        <w:rPr>
          <w:lang w:val="nl-NL"/>
        </w:rPr>
        <w:t>: medianen verschillen significant, H</w:t>
      </w:r>
      <w:r w:rsidR="0042068E" w:rsidRPr="0042068E">
        <w:rPr>
          <w:vertAlign w:val="subscript"/>
          <w:lang w:val="nl-NL"/>
        </w:rPr>
        <w:t>1</w:t>
      </w:r>
      <w:r w:rsidR="0042068E" w:rsidRPr="0042068E">
        <w:rPr>
          <w:lang w:val="nl-NL"/>
        </w:rPr>
        <w:t xml:space="preserve">: medianen niet significant verschillend. </w:t>
      </w:r>
      <w:r w:rsidR="0042068E" w:rsidRPr="008807E7">
        <w:t>α</w:t>
      </w:r>
      <w:r w:rsidR="0042068E" w:rsidRPr="0042068E">
        <w:rPr>
          <w:lang w:val="nl-NL"/>
        </w:rPr>
        <w:t xml:space="preserve"> = 0.05. </w:t>
      </w:r>
      <w:proofErr w:type="spellStart"/>
      <w:r w:rsidR="0042068E" w:rsidRPr="008807E7">
        <w:t>Toetsingsgrootheid</w:t>
      </w:r>
      <w:proofErr w:type="spellEnd"/>
      <w:r w:rsidR="0042068E" w:rsidRPr="008807E7">
        <w:t>:</w:t>
      </w:r>
    </w:p>
    <w:tbl>
      <w:tblPr>
        <w:tblpPr w:leftFromText="141" w:rightFromText="141" w:vertAnchor="text" w:horzAnchor="margin" w:tblpXSpec="center" w:tblpY="174"/>
        <w:tblW w:w="0" w:type="auto"/>
        <w:tblCellMar>
          <w:left w:w="70" w:type="dxa"/>
          <w:right w:w="70" w:type="dxa"/>
        </w:tblCellMar>
        <w:tblLook w:val="04A0"/>
      </w:tblPr>
      <w:tblGrid>
        <w:gridCol w:w="919"/>
        <w:gridCol w:w="586"/>
        <w:gridCol w:w="586"/>
        <w:gridCol w:w="586"/>
        <w:gridCol w:w="343"/>
        <w:gridCol w:w="586"/>
        <w:gridCol w:w="586"/>
        <w:gridCol w:w="586"/>
        <w:gridCol w:w="586"/>
        <w:gridCol w:w="586"/>
        <w:gridCol w:w="586"/>
        <w:gridCol w:w="586"/>
        <w:gridCol w:w="586"/>
        <w:gridCol w:w="586"/>
        <w:gridCol w:w="586"/>
      </w:tblGrid>
      <w:tr w:rsidR="0042068E" w:rsidRPr="00C14FFA" w:rsidTr="0042068E">
        <w:trPr>
          <w:trHeight w:val="300"/>
        </w:trPr>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Waarden:</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0,1013</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0,1005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strike/>
                <w:color w:val="000000"/>
                <w:sz w:val="16"/>
                <w:lang w:val="nl-NL" w:eastAsia="nl-NL" w:bidi="ar-SA"/>
              </w:rPr>
              <w:t>0,0912</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0,1008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0,0968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0,1017</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0,1101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0,1201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0,1142</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0,0929</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0,1098</w:t>
            </w:r>
          </w:p>
        </w:tc>
      </w:tr>
      <w:tr w:rsidR="0042068E" w:rsidRPr="00C14FFA" w:rsidTr="0042068E">
        <w:trPr>
          <w:trHeight w:val="300"/>
        </w:trPr>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Gesorteerd:</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0,0929</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0,0968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0,1005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0,1008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0,1013</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0,1017</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0,1098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0,1101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0,1142</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0,1201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r>
      <w:tr w:rsidR="0042068E" w:rsidRPr="00C14FFA" w:rsidTr="0042068E">
        <w:trPr>
          <w:trHeight w:val="300"/>
        </w:trPr>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Rang:</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2</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3,5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3,5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6</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7</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9</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10</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11</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12</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13</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r>
      <w:tr w:rsidR="0042068E" w:rsidRPr="00C14FFA" w:rsidTr="0042068E">
        <w:trPr>
          <w:trHeight w:val="300"/>
        </w:trPr>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roofErr w:type="spellStart"/>
            <w:r w:rsidRPr="00C14FFA">
              <w:rPr>
                <w:rFonts w:ascii="Calibri" w:eastAsia="Times New Roman" w:hAnsi="Calibri" w:cs="Times New Roman"/>
                <w:color w:val="000000"/>
                <w:sz w:val="16"/>
                <w:lang w:val="nl-NL" w:eastAsia="nl-NL" w:bidi="ar-SA"/>
              </w:rPr>
              <w:t>ni</w:t>
            </w:r>
            <w:proofErr w:type="spellEnd"/>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8</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5</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r>
      <w:tr w:rsidR="0042068E" w:rsidRPr="00C14FFA" w:rsidTr="0042068E">
        <w:trPr>
          <w:trHeight w:val="300"/>
        </w:trPr>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roofErr w:type="spellStart"/>
            <w:r w:rsidRPr="00C14FFA">
              <w:rPr>
                <w:rFonts w:ascii="Calibri" w:eastAsia="Times New Roman" w:hAnsi="Calibri" w:cs="Times New Roman"/>
                <w:color w:val="000000"/>
                <w:sz w:val="16"/>
                <w:lang w:val="nl-NL" w:eastAsia="nl-NL" w:bidi="ar-SA"/>
              </w:rPr>
              <w:lastRenderedPageBreak/>
              <w:t>Ri</w:t>
            </w:r>
            <w:proofErr w:type="spellEnd"/>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lang w:val="nl-NL" w:eastAsia="nl-NL" w:bidi="ar-SA"/>
              </w:rPr>
            </w:pPr>
            <w:r w:rsidRPr="00C14FFA">
              <w:rPr>
                <w:rFonts w:ascii="Calibri" w:eastAsia="Times New Roman" w:hAnsi="Calibri" w:cs="Times New Roman"/>
                <w:color w:val="000000"/>
                <w:sz w:val="16"/>
                <w:lang w:val="nl-NL" w:eastAsia="nl-NL" w:bidi="ar-SA"/>
              </w:rPr>
              <w:t>44</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jc w:val="right"/>
              <w:rPr>
                <w:rFonts w:ascii="Calibri" w:eastAsia="Times New Roman" w:hAnsi="Calibri" w:cs="Times New Roman"/>
                <w:color w:val="000000"/>
                <w:sz w:val="16"/>
                <w:u w:val="single"/>
                <w:lang w:val="nl-NL" w:eastAsia="nl-NL" w:bidi="ar-SA"/>
              </w:rPr>
            </w:pPr>
            <w:r w:rsidRPr="00C14FFA">
              <w:rPr>
                <w:rFonts w:ascii="Calibri" w:eastAsia="Times New Roman" w:hAnsi="Calibri" w:cs="Times New Roman"/>
                <w:color w:val="000000"/>
                <w:sz w:val="16"/>
                <w:u w:val="single"/>
                <w:lang w:val="nl-NL" w:eastAsia="nl-NL" w:bidi="ar-SA"/>
              </w:rPr>
              <w:t>47</w:t>
            </w: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c>
          <w:tcPr>
            <w:tcW w:w="0" w:type="auto"/>
            <w:tcBorders>
              <w:top w:val="nil"/>
              <w:left w:val="nil"/>
              <w:bottom w:val="nil"/>
              <w:right w:val="nil"/>
            </w:tcBorders>
            <w:shd w:val="clear" w:color="auto" w:fill="auto"/>
            <w:noWrap/>
            <w:vAlign w:val="bottom"/>
            <w:hideMark/>
          </w:tcPr>
          <w:p w:rsidR="0042068E" w:rsidRPr="00C14FFA" w:rsidRDefault="0042068E" w:rsidP="0042068E">
            <w:pPr>
              <w:spacing w:after="0" w:line="240" w:lineRule="auto"/>
              <w:rPr>
                <w:rFonts w:ascii="Calibri" w:eastAsia="Times New Roman" w:hAnsi="Calibri" w:cs="Times New Roman"/>
                <w:color w:val="000000"/>
                <w:sz w:val="16"/>
                <w:lang w:val="nl-NL" w:eastAsia="nl-NL" w:bidi="ar-SA"/>
              </w:rPr>
            </w:pPr>
          </w:p>
        </w:tc>
      </w:tr>
    </w:tbl>
    <w:p w:rsidR="00C14FFA" w:rsidRDefault="00484387" w:rsidP="00C14FFA">
      <w:pPr>
        <w:jc w:val="both"/>
      </w:pPr>
      <w:r>
        <w:tab/>
      </w:r>
    </w:p>
    <w:p w:rsidR="0042068E" w:rsidRDefault="0042068E" w:rsidP="00C14FFA">
      <w:pPr>
        <w:jc w:val="both"/>
      </w:pPr>
      <w:r>
        <w:tab/>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=8∙5+</m:t>
        </m:r>
        <m:f>
          <m:fPr>
            <m:ctrlPr>
              <w:rPr>
                <w:rFonts w:ascii="Cambria Math" w:hAnsi="Cambria Math"/>
                <w:i/>
              </w:rPr>
            </m:ctrlPr>
          </m:fPr>
          <m:num>
            <m:r>
              <w:rPr>
                <w:rFonts w:ascii="Cambria Math" w:hAnsi="Cambria Math"/>
              </w:rPr>
              <m:t>8(8+1)</m:t>
            </m:r>
          </m:num>
          <m:den>
            <m:r>
              <w:rPr>
                <w:rFonts w:ascii="Cambria Math" w:hAnsi="Cambria Math"/>
              </w:rPr>
              <m:t>2</m:t>
            </m:r>
          </m:den>
        </m:f>
        <m:r>
          <w:rPr>
            <w:rFonts w:ascii="Cambria Math" w:hAnsi="Cambria Math"/>
          </w:rPr>
          <m:t>-44=32</m:t>
        </m:r>
      </m:oMath>
    </w:p>
    <w:p w:rsidR="0042068E" w:rsidRDefault="00944093" w:rsidP="0042068E">
      <w:pPr>
        <w:ind w:left="709"/>
        <w:jc w:val="both"/>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=8∙5+</m:t>
          </m:r>
          <m:f>
            <m:fPr>
              <m:ctrlPr>
                <w:rPr>
                  <w:rFonts w:ascii="Cambria Math" w:hAnsi="Cambria Math"/>
                  <w:i/>
                </w:rPr>
              </m:ctrlPr>
            </m:fPr>
            <m:num>
              <m:r>
                <w:rPr>
                  <w:rFonts w:ascii="Cambria Math" w:hAnsi="Cambria Math"/>
                </w:rPr>
                <m:t>5(5+1)</m:t>
              </m:r>
            </m:num>
            <m:den>
              <m:r>
                <w:rPr>
                  <w:rFonts w:ascii="Cambria Math" w:hAnsi="Cambria Math"/>
                </w:rPr>
                <m:t>2</m:t>
              </m:r>
            </m:den>
          </m:f>
          <m:r>
            <w:rPr>
              <w:rFonts w:ascii="Cambria Math" w:hAnsi="Cambria Math"/>
            </w:rPr>
            <m:t>-47=8</m:t>
          </m:r>
        </m:oMath>
      </m:oMathPara>
    </w:p>
    <w:p w:rsidR="0053769F" w:rsidRDefault="0042068E" w:rsidP="003D5E72">
      <w:pPr>
        <w:ind w:left="708"/>
        <w:jc w:val="both"/>
        <w:rPr>
          <w:lang w:val="nl-NL"/>
        </w:rPr>
      </w:pPr>
      <w:proofErr w:type="spellStart"/>
      <w:r w:rsidRPr="004C7A85">
        <w:t>U</w:t>
      </w:r>
      <w:r w:rsidRPr="004C7A85">
        <w:rPr>
          <w:vertAlign w:val="subscript"/>
        </w:rPr>
        <w:t>cal</w:t>
      </w:r>
      <w:proofErr w:type="spellEnd"/>
      <w:r w:rsidRPr="004C7A85">
        <w:t xml:space="preserve"> = 8. </w:t>
      </w:r>
      <w:r w:rsidR="0053769F" w:rsidRPr="004C7A85">
        <w:t>U</w:t>
      </w:r>
      <w:r w:rsidR="0053769F" w:rsidRPr="004C7A85">
        <w:rPr>
          <w:vertAlign w:val="subscript"/>
        </w:rPr>
        <w:t>tab,n1=</w:t>
      </w:r>
      <w:r w:rsidRPr="004C7A85">
        <w:rPr>
          <w:vertAlign w:val="subscript"/>
        </w:rPr>
        <w:t>8</w:t>
      </w:r>
      <w:r w:rsidR="0053769F" w:rsidRPr="004C7A85">
        <w:rPr>
          <w:vertAlign w:val="subscript"/>
        </w:rPr>
        <w:t>,n2=5,</w:t>
      </w:r>
      <w:r w:rsidR="0053769F">
        <w:rPr>
          <w:vertAlign w:val="subscript"/>
        </w:rPr>
        <w:t>α</w:t>
      </w:r>
      <w:r w:rsidR="0053769F" w:rsidRPr="004C7A85">
        <w:rPr>
          <w:vertAlign w:val="subscript"/>
        </w:rPr>
        <w:t>=0.05</w:t>
      </w:r>
      <w:r w:rsidR="0053769F" w:rsidRPr="004C7A85">
        <w:t xml:space="preserve"> = </w:t>
      </w:r>
      <w:r w:rsidRPr="004C7A85">
        <w:t>6</w:t>
      </w:r>
      <w:r w:rsidR="0053769F" w:rsidRPr="004C7A85">
        <w:t xml:space="preserve">. </w:t>
      </w:r>
      <w:proofErr w:type="spellStart"/>
      <w:r w:rsidR="0053769F" w:rsidRPr="0042068E">
        <w:rPr>
          <w:lang w:val="nl-NL"/>
        </w:rPr>
        <w:t>U</w:t>
      </w:r>
      <w:r w:rsidR="0053769F" w:rsidRPr="0042068E">
        <w:rPr>
          <w:vertAlign w:val="subscript"/>
          <w:lang w:val="nl-NL"/>
        </w:rPr>
        <w:t>cal</w:t>
      </w:r>
      <w:proofErr w:type="spellEnd"/>
      <w:r w:rsidR="0053769F" w:rsidRPr="0042068E">
        <w:rPr>
          <w:lang w:val="nl-NL"/>
        </w:rPr>
        <w:t xml:space="preserve"> &gt; </w:t>
      </w:r>
      <w:proofErr w:type="spellStart"/>
      <w:r w:rsidR="0053769F" w:rsidRPr="0042068E">
        <w:rPr>
          <w:lang w:val="nl-NL"/>
        </w:rPr>
        <w:t>U</w:t>
      </w:r>
      <w:r w:rsidR="0053769F" w:rsidRPr="0042068E">
        <w:rPr>
          <w:vertAlign w:val="subscript"/>
          <w:lang w:val="nl-NL"/>
        </w:rPr>
        <w:t>tab</w:t>
      </w:r>
      <w:proofErr w:type="spellEnd"/>
      <w:r w:rsidR="0053769F" w:rsidRPr="0042068E">
        <w:rPr>
          <w:lang w:val="nl-NL"/>
        </w:rPr>
        <w:t xml:space="preserve"> dus </w:t>
      </w:r>
      <w:r>
        <w:rPr>
          <w:lang w:val="nl-NL"/>
        </w:rPr>
        <w:t>de nulhypothese wordt geaccepteerd</w:t>
      </w:r>
      <w:r w:rsidR="0053769F" w:rsidRPr="0042068E">
        <w:rPr>
          <w:lang w:val="nl-NL"/>
        </w:rPr>
        <w:t xml:space="preserve">, </w:t>
      </w:r>
      <w:r>
        <w:rPr>
          <w:lang w:val="nl-NL"/>
        </w:rPr>
        <w:t>en de zalen zitten (verbazend genoeg) waarschijnlijk op dezelfde lijn</w:t>
      </w:r>
      <w:r w:rsidR="0053769F" w:rsidRPr="0042068E">
        <w:rPr>
          <w:lang w:val="nl-NL"/>
        </w:rPr>
        <w:t>.</w:t>
      </w:r>
    </w:p>
    <w:p w:rsidR="0042068E" w:rsidRPr="0042068E" w:rsidRDefault="0042068E" w:rsidP="003D5E72">
      <w:pPr>
        <w:ind w:left="708"/>
        <w:jc w:val="both"/>
        <w:rPr>
          <w:i/>
          <w:lang w:val="nl-NL"/>
        </w:rPr>
      </w:pPr>
      <w:r w:rsidRPr="0042068E">
        <w:rPr>
          <w:i/>
          <w:lang w:val="nl-NL"/>
        </w:rPr>
        <w:t xml:space="preserve">Overigens is die waarde 0.0929 van de tweede reeks </w:t>
      </w:r>
      <w:r w:rsidR="00AF6A4C">
        <w:rPr>
          <w:i/>
          <w:lang w:val="nl-NL"/>
        </w:rPr>
        <w:t>geen uitbijter, maar dat had je wel kunnen testen.</w:t>
      </w:r>
    </w:p>
    <w:p w:rsidR="00D3422A" w:rsidRPr="0042068E" w:rsidRDefault="0053769F" w:rsidP="003D5E72">
      <w:pPr>
        <w:jc w:val="both"/>
        <w:rPr>
          <w:lang w:val="nl-NL"/>
        </w:rPr>
      </w:pPr>
      <w:r w:rsidRPr="0042068E">
        <w:rPr>
          <w:lang w:val="nl-NL"/>
        </w:rPr>
        <w:t>D)</w:t>
      </w:r>
      <w:r w:rsidRPr="0042068E">
        <w:rPr>
          <w:lang w:val="nl-NL"/>
        </w:rPr>
        <w:tab/>
      </w:r>
      <w:r w:rsidR="00D3422A" w:rsidRPr="0042068E">
        <w:rPr>
          <w:lang w:val="nl-NL"/>
        </w:rPr>
        <w:t>Analoog vorige werkcollege:</w:t>
      </w:r>
    </w:p>
    <w:p w:rsidR="00D3422A" w:rsidRPr="004C7A85" w:rsidRDefault="00D3422A" w:rsidP="003D5E72">
      <w:pPr>
        <w:ind w:left="705" w:hanging="705"/>
        <w:jc w:val="both"/>
        <w:rPr>
          <w:lang w:val="nl-NL"/>
        </w:rPr>
      </w:pPr>
      <w:r w:rsidRPr="0042068E">
        <w:rPr>
          <w:lang w:val="nl-NL"/>
        </w:rPr>
        <w:tab/>
        <w:t xml:space="preserve">Dus ‘gewone’ </w:t>
      </w:r>
      <w:r w:rsidRPr="004C7A85">
        <w:rPr>
          <w:lang w:val="nl-NL"/>
        </w:rPr>
        <w:t xml:space="preserve">2-sample </w:t>
      </w:r>
      <w:proofErr w:type="spellStart"/>
      <w:r w:rsidRPr="004C7A85">
        <w:rPr>
          <w:lang w:val="nl-NL"/>
        </w:rPr>
        <w:t>t-toets</w:t>
      </w:r>
      <w:proofErr w:type="spellEnd"/>
      <w:r w:rsidRPr="004C7A85">
        <w:rPr>
          <w:lang w:val="nl-NL"/>
        </w:rPr>
        <w:t>, maar voor kleine steekproeven (n &lt; 30).</w:t>
      </w:r>
    </w:p>
    <w:p w:rsidR="00D3422A" w:rsidRPr="004C7A85" w:rsidRDefault="00D3422A" w:rsidP="003D5E72">
      <w:pPr>
        <w:ind w:left="705" w:hanging="705"/>
        <w:jc w:val="both"/>
        <w:rPr>
          <w:lang w:val="nl-NL"/>
        </w:rPr>
      </w:pPr>
      <w:r w:rsidRPr="004C7A85">
        <w:rPr>
          <w:lang w:val="nl-NL"/>
        </w:rPr>
        <w:tab/>
        <w:t>Eerst</w:t>
      </w:r>
    </w:p>
    <w:p w:rsidR="00D3422A" w:rsidRPr="004C7A85" w:rsidRDefault="00D3422A" w:rsidP="003D5E72">
      <w:pPr>
        <w:ind w:left="705" w:hanging="705"/>
        <w:jc w:val="both"/>
        <w:rPr>
          <w:lang w:val="nl-NL"/>
        </w:rPr>
      </w:pPr>
    </w:p>
    <w:p w:rsidR="00D3422A" w:rsidRDefault="00D3422A" w:rsidP="003D5E72">
      <w:pPr>
        <w:ind w:left="705"/>
        <w:jc w:val="both"/>
        <w:rPr>
          <w:lang w:val="nl-NL"/>
        </w:rPr>
      </w:pPr>
      <w:r w:rsidRPr="004C7A85">
        <w:rPr>
          <w:lang w:val="nl-NL"/>
        </w:rPr>
        <w:t>s</w:t>
      </w:r>
      <w:r w:rsidRPr="004C7A85">
        <w:rPr>
          <w:vertAlign w:val="subscript"/>
          <w:lang w:val="nl-NL"/>
        </w:rPr>
        <w:t>1</w:t>
      </w:r>
      <w:r w:rsidRPr="004C7A85">
        <w:rPr>
          <w:vertAlign w:val="superscript"/>
          <w:lang w:val="nl-NL"/>
        </w:rPr>
        <w:t>2</w:t>
      </w:r>
      <w:r w:rsidRPr="004C7A85">
        <w:rPr>
          <w:lang w:val="nl-NL"/>
        </w:rPr>
        <w:t xml:space="preserve"> = </w:t>
      </w:r>
      <w:r w:rsidR="00E81A21" w:rsidRPr="004C7A85">
        <w:rPr>
          <w:lang w:val="nl-NL"/>
        </w:rPr>
        <w:t>0,0000023</w:t>
      </w:r>
      <w:r w:rsidRPr="004C7A85">
        <w:rPr>
          <w:lang w:val="nl-NL"/>
        </w:rPr>
        <w:t xml:space="preserve">, </w:t>
      </w:r>
      <w:r w:rsidR="003B6B6A" w:rsidRPr="004C7A85">
        <w:rPr>
          <w:lang w:val="nl-NL"/>
        </w:rPr>
        <w:t>s</w:t>
      </w:r>
      <w:r w:rsidR="003B6B6A" w:rsidRPr="004C7A85">
        <w:rPr>
          <w:vertAlign w:val="subscript"/>
          <w:lang w:val="nl-NL"/>
        </w:rPr>
        <w:t>2</w:t>
      </w:r>
      <w:r w:rsidR="003B6B6A" w:rsidRPr="004C7A85">
        <w:rPr>
          <w:vertAlign w:val="superscript"/>
          <w:lang w:val="nl-NL"/>
        </w:rPr>
        <w:t>2</w:t>
      </w:r>
      <w:r w:rsidR="003B6B6A" w:rsidRPr="004C7A85">
        <w:rPr>
          <w:lang w:val="nl-NL"/>
        </w:rPr>
        <w:t xml:space="preserve"> = 0.000102607</w:t>
      </w:r>
    </w:p>
    <w:p w:rsidR="004C7A85" w:rsidRPr="004C7A85" w:rsidRDefault="004C7A85" w:rsidP="003D5E72">
      <w:pPr>
        <w:ind w:left="705"/>
        <w:jc w:val="both"/>
        <w:rPr>
          <w:lang w:val="nl-NL"/>
        </w:rPr>
      </w:pPr>
    </w:p>
    <w:p w:rsidR="003B6B6A" w:rsidRPr="004C7A85" w:rsidRDefault="00944093" w:rsidP="003D5E72">
      <w:pPr>
        <w:ind w:left="705"/>
        <w:jc w:val="both"/>
        <w:rPr>
          <w:lang w:val="nl-NL"/>
        </w:rPr>
      </w:pPr>
      <m:oMathPara>
        <m:oMathParaPr>
          <m:jc m:val="left"/>
        </m:oMathParaPr>
        <m:oMath>
          <m:sSubSup>
            <m:sSubSupPr>
              <m:ctrlPr>
                <w:rPr>
                  <w:rFonts w:ascii="Cambria Math" w:hAnsi="Cambria Math"/>
                  <w:i/>
                </w:rPr>
              </m:ctrlPr>
            </m:sSubSupPr>
            <m:e>
              <m:r>
                <w:rPr>
                  <w:rFonts w:ascii="Cambria Math" w:hAnsi="Cambria Math"/>
                </w:rPr>
                <m:t>s</m:t>
              </m:r>
            </m:e>
            <m:sub>
              <m:r>
                <w:rPr>
                  <w:rFonts w:ascii="Cambria Math" w:hAnsi="Cambria Math"/>
                </w:rPr>
                <m:t>pooled</m:t>
              </m:r>
            </m:sub>
            <m:sup>
              <m:r>
                <w:rPr>
                  <w:rFonts w:ascii="Cambria Math" w:hAnsi="Cambria Math"/>
                </w:rPr>
                <m:t>2</m:t>
              </m:r>
            </m:sup>
          </m:sSubSup>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den>
          </m:f>
          <m:r>
            <w:rPr>
              <w:rFonts w:ascii="Cambria Math" w:hAnsi="Cambria Math"/>
            </w:rPr>
            <m:t>=</m:t>
          </m:r>
          <m:f>
            <m:fPr>
              <m:ctrlPr>
                <w:rPr>
                  <w:rFonts w:ascii="Cambria Math" w:hAnsi="Cambria Math"/>
                  <w:i/>
                </w:rPr>
              </m:ctrlPr>
            </m:fPr>
            <m:num>
              <m:r>
                <w:rPr>
                  <w:rFonts w:ascii="Cambria Math" w:hAnsi="Cambria Math"/>
                </w:rPr>
                <m:t>7*0,0000023307+4*0,000102607</m:t>
              </m:r>
            </m:num>
            <m:den>
              <m:r>
                <w:rPr>
                  <w:rFonts w:ascii="Cambria Math" w:hAnsi="Cambria Math"/>
                </w:rPr>
                <m:t>11</m:t>
              </m:r>
            </m:den>
          </m:f>
          <m:r>
            <w:rPr>
              <w:rFonts w:ascii="Cambria Math" w:hAnsi="Cambria Math"/>
            </w:rPr>
            <m:t>=3,87948091*</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D3422A" w:rsidRPr="004C7A85" w:rsidRDefault="00D3422A" w:rsidP="003D5E72">
      <w:pPr>
        <w:ind w:left="705" w:hanging="705"/>
        <w:jc w:val="both"/>
        <w:rPr>
          <w:lang w:val="nl-NL"/>
        </w:rPr>
      </w:pPr>
      <w:r w:rsidRPr="004C7A85">
        <w:rPr>
          <w:lang w:val="nl-NL"/>
        </w:rPr>
        <w:tab/>
      </w:r>
      <m:oMath>
        <m:sSub>
          <m:sSubPr>
            <m:ctrlPr>
              <w:rPr>
                <w:rFonts w:ascii="Cambria Math" w:hAnsi="Cambria Math"/>
                <w:i/>
                <w:lang w:val="nl-NL"/>
              </w:rPr>
            </m:ctrlPr>
          </m:sSubPr>
          <m:e>
            <m:r>
              <w:rPr>
                <w:rFonts w:ascii="Cambria Math" w:hAnsi="Cambria Math"/>
                <w:lang w:val="nl-NL"/>
              </w:rPr>
              <m:t>t</m:t>
            </m:r>
          </m:e>
          <m:sub>
            <m:r>
              <w:rPr>
                <w:rFonts w:ascii="Cambria Math" w:hAnsi="Cambria Math"/>
                <w:lang w:val="nl-NL"/>
              </w:rPr>
              <m:t>cal</m:t>
            </m:r>
          </m:sub>
        </m:sSub>
        <m:r>
          <w:rPr>
            <w:rFonts w:ascii="Cambria Math" w:hAnsi="Cambria Math"/>
            <w:lang w:val="nl-NL"/>
          </w:rPr>
          <m:t>=</m:t>
        </m:r>
        <m:f>
          <m:fPr>
            <m:ctrlPr>
              <w:rPr>
                <w:rFonts w:ascii="Cambria Math" w:hAnsi="Cambria Math"/>
                <w:i/>
                <w:lang w:val="nl-NL"/>
              </w:rPr>
            </m:ctrlPr>
          </m:fPr>
          <m:num>
            <m:d>
              <m:dPr>
                <m:begChr m:val="|"/>
                <m:endChr m:val="|"/>
                <m:ctrlPr>
                  <w:rPr>
                    <w:rFonts w:ascii="Cambria Math" w:hAnsi="Cambria Math"/>
                    <w:i/>
                    <w:lang w:val="nl-NL"/>
                  </w:rPr>
                </m:ctrlPr>
              </m:dPr>
              <m:e>
                <m:acc>
                  <m:accPr>
                    <m:chr m:val="̅"/>
                    <m:ctrlPr>
                      <w:rPr>
                        <w:rFonts w:ascii="Cambria Math" w:hAnsi="Cambria Math"/>
                        <w:i/>
                        <w:lang w:val="nl-NL"/>
                      </w:rPr>
                    </m:ctrlPr>
                  </m:accPr>
                  <m:e>
                    <m:sSub>
                      <m:sSubPr>
                        <m:ctrlPr>
                          <w:rPr>
                            <w:rFonts w:ascii="Cambria Math" w:hAnsi="Cambria Math"/>
                            <w:i/>
                            <w:lang w:val="nl-NL"/>
                          </w:rPr>
                        </m:ctrlPr>
                      </m:sSubPr>
                      <m:e>
                        <m:r>
                          <w:rPr>
                            <w:rFonts w:ascii="Cambria Math" w:hAnsi="Cambria Math"/>
                            <w:lang w:val="nl-NL"/>
                          </w:rPr>
                          <m:t>x</m:t>
                        </m:r>
                      </m:e>
                      <m:sub>
                        <m:r>
                          <w:rPr>
                            <w:rFonts w:ascii="Cambria Math" w:hAnsi="Cambria Math"/>
                            <w:lang w:val="nl-NL"/>
                          </w:rPr>
                          <m:t>1</m:t>
                        </m:r>
                      </m:sub>
                    </m:sSub>
                  </m:e>
                </m:acc>
                <m:r>
                  <w:rPr>
                    <w:rFonts w:ascii="Cambria Math" w:hAnsi="Cambria Math"/>
                    <w:lang w:val="nl-NL"/>
                  </w:rPr>
                  <m:t>-</m:t>
                </m:r>
                <m:acc>
                  <m:accPr>
                    <m:chr m:val="̅"/>
                    <m:ctrlPr>
                      <w:rPr>
                        <w:rFonts w:ascii="Cambria Math" w:hAnsi="Cambria Math"/>
                        <w:i/>
                        <w:lang w:val="nl-NL"/>
                      </w:rPr>
                    </m:ctrlPr>
                  </m:accPr>
                  <m:e>
                    <m:sSub>
                      <m:sSubPr>
                        <m:ctrlPr>
                          <w:rPr>
                            <w:rFonts w:ascii="Cambria Math" w:hAnsi="Cambria Math"/>
                            <w:i/>
                            <w:lang w:val="nl-NL"/>
                          </w:rPr>
                        </m:ctrlPr>
                      </m:sSubPr>
                      <m:e>
                        <m:r>
                          <w:rPr>
                            <w:rFonts w:ascii="Cambria Math" w:hAnsi="Cambria Math"/>
                            <w:lang w:val="nl-NL"/>
                          </w:rPr>
                          <m:t>x</m:t>
                        </m:r>
                      </m:e>
                      <m:sub>
                        <m:r>
                          <w:rPr>
                            <w:rFonts w:ascii="Cambria Math" w:hAnsi="Cambria Math"/>
                            <w:lang w:val="nl-NL"/>
                          </w:rPr>
                          <m:t>2</m:t>
                        </m:r>
                      </m:sub>
                    </m:sSub>
                  </m:e>
                </m:acc>
              </m:e>
            </m:d>
          </m:num>
          <m:den>
            <m:rad>
              <m:radPr>
                <m:degHide m:val="on"/>
                <m:ctrlPr>
                  <w:rPr>
                    <w:rFonts w:ascii="Cambria Math" w:hAnsi="Cambria Math"/>
                    <w:i/>
                    <w:lang w:val="nl-NL"/>
                  </w:rPr>
                </m:ctrlPr>
              </m:radPr>
              <m:deg/>
              <m:e>
                <m:sSubSup>
                  <m:sSubSupPr>
                    <m:ctrlPr>
                      <w:rPr>
                        <w:rFonts w:ascii="Cambria Math" w:hAnsi="Cambria Math"/>
                        <w:i/>
                        <w:lang w:val="nl-NL"/>
                      </w:rPr>
                    </m:ctrlPr>
                  </m:sSubSupPr>
                  <m:e>
                    <m:r>
                      <w:rPr>
                        <w:rFonts w:ascii="Cambria Math" w:hAnsi="Cambria Math"/>
                        <w:lang w:val="nl-NL"/>
                      </w:rPr>
                      <m:t>s</m:t>
                    </m:r>
                  </m:e>
                  <m:sub>
                    <m:r>
                      <w:rPr>
                        <w:rFonts w:ascii="Cambria Math" w:hAnsi="Cambria Math"/>
                        <w:lang w:val="nl-NL"/>
                      </w:rPr>
                      <m:t>pooled</m:t>
                    </m:r>
                  </m:sub>
                  <m:sup>
                    <m:r>
                      <w:rPr>
                        <w:rFonts w:ascii="Cambria Math" w:hAnsi="Cambria Math"/>
                        <w:lang w:val="nl-NL"/>
                      </w:rPr>
                      <m:t>2</m:t>
                    </m:r>
                  </m:sup>
                </m:sSubSup>
                <m:r>
                  <w:rPr>
                    <w:rFonts w:ascii="Cambria Math" w:hAnsi="Cambria Math"/>
                    <w:lang w:val="nl-NL"/>
                  </w:rPr>
                  <m:t>(</m:t>
                </m:r>
                <m:f>
                  <m:fPr>
                    <m:ctrlPr>
                      <w:rPr>
                        <w:rFonts w:ascii="Cambria Math" w:hAnsi="Cambria Math"/>
                        <w:i/>
                        <w:lang w:val="nl-NL"/>
                      </w:rPr>
                    </m:ctrlPr>
                  </m:fPr>
                  <m:num>
                    <m:r>
                      <w:rPr>
                        <w:rFonts w:ascii="Cambria Math" w:hAnsi="Cambria Math"/>
                        <w:lang w:val="nl-NL"/>
                      </w:rPr>
                      <m:t>1</m:t>
                    </m:r>
                  </m:num>
                  <m:den>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1</m:t>
                        </m:r>
                      </m:sub>
                    </m:sSub>
                  </m:den>
                </m:f>
                <m:r>
                  <w:rPr>
                    <w:rFonts w:ascii="Cambria Math" w:hAnsi="Cambria Math"/>
                    <w:lang w:val="nl-NL"/>
                  </w:rPr>
                  <m:t>+</m:t>
                </m:r>
                <m:f>
                  <m:fPr>
                    <m:ctrlPr>
                      <w:rPr>
                        <w:rFonts w:ascii="Cambria Math" w:hAnsi="Cambria Math"/>
                        <w:i/>
                        <w:lang w:val="nl-NL"/>
                      </w:rPr>
                    </m:ctrlPr>
                  </m:fPr>
                  <m:num>
                    <m:r>
                      <w:rPr>
                        <w:rFonts w:ascii="Cambria Math" w:hAnsi="Cambria Math"/>
                        <w:lang w:val="nl-NL"/>
                      </w:rPr>
                      <m:t>1</m:t>
                    </m:r>
                  </m:num>
                  <m:den>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2</m:t>
                        </m:r>
                      </m:sub>
                    </m:sSub>
                  </m:den>
                </m:f>
                <m:r>
                  <w:rPr>
                    <w:rFonts w:ascii="Cambria Math" w:hAnsi="Cambria Math"/>
                    <w:lang w:val="nl-NL"/>
                  </w:rPr>
                  <m:t>)</m:t>
                </m:r>
              </m:e>
            </m:rad>
          </m:den>
        </m:f>
        <m:r>
          <w:rPr>
            <w:rFonts w:ascii="Cambria Math" w:hAnsi="Cambria Math"/>
            <w:lang w:val="nl-NL"/>
          </w:rPr>
          <m:t>=</m:t>
        </m:r>
        <m:f>
          <m:fPr>
            <m:ctrlPr>
              <w:rPr>
                <w:rFonts w:ascii="Cambria Math" w:hAnsi="Cambria Math"/>
                <w:i/>
                <w:lang w:val="nl-NL"/>
              </w:rPr>
            </m:ctrlPr>
          </m:fPr>
          <m:num>
            <m:d>
              <m:dPr>
                <m:begChr m:val="|"/>
                <m:endChr m:val="|"/>
                <m:ctrlPr>
                  <w:rPr>
                    <w:rFonts w:ascii="Cambria Math" w:hAnsi="Cambria Math"/>
                    <w:i/>
                    <w:lang w:val="nl-NL"/>
                  </w:rPr>
                </m:ctrlPr>
              </m:dPr>
              <m:e>
                <m:r>
                  <w:rPr>
                    <w:rFonts w:ascii="Cambria Math" w:hAnsi="Cambria Math"/>
                    <w:lang w:val="nl-NL"/>
                  </w:rPr>
                  <m:t>0,100275-0,10942</m:t>
                </m:r>
              </m:e>
            </m:d>
          </m:num>
          <m:den>
            <m:rad>
              <m:radPr>
                <m:degHide m:val="on"/>
                <m:ctrlPr>
                  <w:rPr>
                    <w:rFonts w:ascii="Cambria Math" w:hAnsi="Cambria Math"/>
                    <w:i/>
                    <w:lang w:val="nl-NL"/>
                  </w:rPr>
                </m:ctrlPr>
              </m:radPr>
              <m:deg/>
              <m:e>
                <m:r>
                  <w:rPr>
                    <w:rFonts w:ascii="Cambria Math" w:hAnsi="Cambria Math"/>
                  </w:rPr>
                  <m:t>3,87948091*</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lang w:val="nl-NL"/>
                  </w:rPr>
                  <m:t>*(</m:t>
                </m:r>
                <m:f>
                  <m:fPr>
                    <m:ctrlPr>
                      <w:rPr>
                        <w:rFonts w:ascii="Cambria Math" w:hAnsi="Cambria Math"/>
                        <w:i/>
                        <w:lang w:val="nl-NL"/>
                      </w:rPr>
                    </m:ctrlPr>
                  </m:fPr>
                  <m:num>
                    <m:r>
                      <w:rPr>
                        <w:rFonts w:ascii="Cambria Math" w:hAnsi="Cambria Math"/>
                        <w:lang w:val="nl-NL"/>
                      </w:rPr>
                      <m:t>1</m:t>
                    </m:r>
                  </m:num>
                  <m:den>
                    <m:r>
                      <w:rPr>
                        <w:rFonts w:ascii="Cambria Math" w:hAnsi="Cambria Math"/>
                        <w:lang w:val="nl-NL"/>
                      </w:rPr>
                      <m:t>8</m:t>
                    </m:r>
                  </m:den>
                </m:f>
                <m:r>
                  <w:rPr>
                    <w:rFonts w:ascii="Cambria Math" w:hAnsi="Cambria Math"/>
                    <w:lang w:val="nl-NL"/>
                  </w:rPr>
                  <m:t>+</m:t>
                </m:r>
                <m:f>
                  <m:fPr>
                    <m:ctrlPr>
                      <w:rPr>
                        <w:rFonts w:ascii="Cambria Math" w:hAnsi="Cambria Math"/>
                        <w:i/>
                        <w:lang w:val="nl-NL"/>
                      </w:rPr>
                    </m:ctrlPr>
                  </m:fPr>
                  <m:num>
                    <m:r>
                      <w:rPr>
                        <w:rFonts w:ascii="Cambria Math" w:hAnsi="Cambria Math"/>
                        <w:lang w:val="nl-NL"/>
                      </w:rPr>
                      <m:t>1</m:t>
                    </m:r>
                  </m:num>
                  <m:den>
                    <m:r>
                      <w:rPr>
                        <w:rFonts w:ascii="Cambria Math" w:hAnsi="Cambria Math"/>
                        <w:lang w:val="nl-NL"/>
                      </w:rPr>
                      <m:t>5</m:t>
                    </m:r>
                  </m:den>
                </m:f>
                <m:r>
                  <w:rPr>
                    <w:rFonts w:ascii="Cambria Math" w:hAnsi="Cambria Math"/>
                    <w:lang w:val="nl-NL"/>
                  </w:rPr>
                  <m:t>)</m:t>
                </m:r>
              </m:e>
            </m:rad>
          </m:den>
        </m:f>
        <m:r>
          <w:rPr>
            <w:rFonts w:ascii="Cambria Math" w:hAnsi="Cambria Math"/>
            <w:lang w:val="nl-NL"/>
          </w:rPr>
          <m:t>=2,575</m:t>
        </m:r>
      </m:oMath>
    </w:p>
    <w:p w:rsidR="00D3422A" w:rsidRPr="004C7A85" w:rsidRDefault="00D3422A" w:rsidP="004C7A85">
      <w:pPr>
        <w:ind w:left="705" w:hanging="705"/>
        <w:jc w:val="both"/>
        <w:rPr>
          <w:lang w:val="nl-NL"/>
        </w:rPr>
      </w:pPr>
      <w:r w:rsidRPr="004C7A85">
        <w:rPr>
          <w:lang w:val="nl-NL"/>
        </w:rPr>
        <w:tab/>
      </w:r>
      <w:proofErr w:type="spellStart"/>
      <w:r w:rsidRPr="004C7A85">
        <w:rPr>
          <w:lang w:val="nl-NL"/>
        </w:rPr>
        <w:t>t</w:t>
      </w:r>
      <w:r w:rsidR="00824270">
        <w:rPr>
          <w:vertAlign w:val="subscript"/>
          <w:lang w:val="nl-NL"/>
        </w:rPr>
        <w:t>ν</w:t>
      </w:r>
      <w:proofErr w:type="spellEnd"/>
      <w:r w:rsidR="00824270">
        <w:rPr>
          <w:vertAlign w:val="subscript"/>
          <w:lang w:val="nl-NL"/>
        </w:rPr>
        <w:t xml:space="preserve"> = 11,α = </w:t>
      </w:r>
      <w:r w:rsidRPr="004C7A85">
        <w:rPr>
          <w:vertAlign w:val="subscript"/>
          <w:lang w:val="nl-NL"/>
        </w:rPr>
        <w:t>0.05</w:t>
      </w:r>
      <w:r w:rsidRPr="004C7A85">
        <w:rPr>
          <w:lang w:val="nl-NL"/>
        </w:rPr>
        <w:t xml:space="preserve"> = </w:t>
      </w:r>
      <w:r w:rsidR="00824270">
        <w:rPr>
          <w:lang w:val="nl-NL"/>
        </w:rPr>
        <w:t>2.201</w:t>
      </w:r>
      <w:r w:rsidRPr="004C7A85">
        <w:rPr>
          <w:lang w:val="nl-NL"/>
        </w:rPr>
        <w:t xml:space="preserve">, </w:t>
      </w:r>
      <w:proofErr w:type="spellStart"/>
      <w:r w:rsidR="00824270">
        <w:rPr>
          <w:lang w:val="nl-NL"/>
        </w:rPr>
        <w:t>t</w:t>
      </w:r>
      <w:r w:rsidR="00824270">
        <w:rPr>
          <w:vertAlign w:val="subscript"/>
          <w:lang w:val="nl-NL"/>
        </w:rPr>
        <w:t>cal</w:t>
      </w:r>
      <w:proofErr w:type="spellEnd"/>
      <w:r w:rsidR="00824270">
        <w:rPr>
          <w:lang w:val="nl-NL"/>
        </w:rPr>
        <w:t xml:space="preserve"> = 2,575, </w:t>
      </w:r>
      <w:proofErr w:type="spellStart"/>
      <w:r w:rsidR="00824270">
        <w:rPr>
          <w:lang w:val="nl-NL"/>
        </w:rPr>
        <w:t>t</w:t>
      </w:r>
      <w:r w:rsidR="00824270">
        <w:rPr>
          <w:vertAlign w:val="subscript"/>
          <w:lang w:val="nl-NL"/>
        </w:rPr>
        <w:t>cal</w:t>
      </w:r>
      <w:proofErr w:type="spellEnd"/>
      <w:r w:rsidR="00824270">
        <w:rPr>
          <w:lang w:val="nl-NL"/>
        </w:rPr>
        <w:t xml:space="preserve"> &gt; </w:t>
      </w:r>
      <w:proofErr w:type="spellStart"/>
      <w:r w:rsidR="00824270">
        <w:rPr>
          <w:lang w:val="nl-NL"/>
        </w:rPr>
        <w:t>t</w:t>
      </w:r>
      <w:r w:rsidR="00824270">
        <w:rPr>
          <w:vertAlign w:val="subscript"/>
          <w:lang w:val="nl-NL"/>
        </w:rPr>
        <w:t>tab</w:t>
      </w:r>
      <w:proofErr w:type="spellEnd"/>
      <w:r w:rsidR="00824270">
        <w:rPr>
          <w:lang w:val="nl-NL"/>
        </w:rPr>
        <w:t xml:space="preserve">, </w:t>
      </w:r>
      <w:r w:rsidRPr="004C7A85">
        <w:rPr>
          <w:lang w:val="nl-NL"/>
        </w:rPr>
        <w:t xml:space="preserve">dus </w:t>
      </w:r>
      <w:r w:rsidR="002E4BE5" w:rsidRPr="004C7A85">
        <w:rPr>
          <w:lang w:val="nl-NL"/>
        </w:rPr>
        <w:t xml:space="preserve">hier zou je concluderen dat de twee zalen </w:t>
      </w:r>
      <w:r w:rsidR="00824270">
        <w:rPr>
          <w:lang w:val="nl-NL"/>
        </w:rPr>
        <w:t xml:space="preserve">waarschijnlijk </w:t>
      </w:r>
      <w:r w:rsidR="00824270" w:rsidRPr="00824270">
        <w:rPr>
          <w:i/>
          <w:lang w:val="nl-NL"/>
        </w:rPr>
        <w:t>niet</w:t>
      </w:r>
      <w:r w:rsidR="002E4BE5" w:rsidRPr="004C7A85">
        <w:rPr>
          <w:lang w:val="nl-NL"/>
        </w:rPr>
        <w:t xml:space="preserve"> op eenzelfde lijn zitten (</w:t>
      </w:r>
      <w:r w:rsidR="002E4BE5">
        <w:t>μ</w:t>
      </w:r>
      <w:r w:rsidR="002E4BE5" w:rsidRPr="004C7A85">
        <w:rPr>
          <w:vertAlign w:val="subscript"/>
          <w:lang w:val="nl-NL"/>
        </w:rPr>
        <w:t xml:space="preserve">A </w:t>
      </w:r>
      <w:r w:rsidR="002E4BE5" w:rsidRPr="004C7A85">
        <w:rPr>
          <w:lang w:val="nl-NL"/>
        </w:rPr>
        <w:t xml:space="preserve">= </w:t>
      </w:r>
      <w:r w:rsidR="002E4BE5">
        <w:t>μ</w:t>
      </w:r>
      <w:r w:rsidR="002E4BE5" w:rsidRPr="004C7A85">
        <w:rPr>
          <w:vertAlign w:val="subscript"/>
          <w:lang w:val="nl-NL"/>
        </w:rPr>
        <w:t>B</w:t>
      </w:r>
      <w:r w:rsidR="009926CA" w:rsidRPr="004C7A85">
        <w:rPr>
          <w:lang w:val="nl-NL"/>
        </w:rPr>
        <w:t xml:space="preserve"> met </w:t>
      </w:r>
      <w:r w:rsidR="009926CA" w:rsidRPr="009926CA">
        <w:t>α</w:t>
      </w:r>
      <w:r w:rsidR="009926CA" w:rsidRPr="004C7A85">
        <w:rPr>
          <w:lang w:val="nl-NL"/>
        </w:rPr>
        <w:t xml:space="preserve"> = 0.05</w:t>
      </w:r>
      <w:r w:rsidR="002E4BE5" w:rsidRPr="004C7A85">
        <w:rPr>
          <w:lang w:val="nl-NL"/>
        </w:rPr>
        <w:t>)</w:t>
      </w:r>
      <w:r w:rsidRPr="004C7A85">
        <w:rPr>
          <w:lang w:val="nl-NL"/>
        </w:rPr>
        <w:t>.</w:t>
      </w:r>
    </w:p>
    <w:p w:rsidR="0053769F" w:rsidRPr="004C7A85" w:rsidRDefault="0053769F" w:rsidP="003D5E72">
      <w:pPr>
        <w:jc w:val="both"/>
        <w:rPr>
          <w:lang w:val="nl-NL"/>
        </w:rPr>
      </w:pPr>
      <w:r w:rsidRPr="004C7A85">
        <w:rPr>
          <w:lang w:val="nl-NL"/>
        </w:rPr>
        <w:t xml:space="preserve"> </w:t>
      </w:r>
    </w:p>
    <w:p w:rsidR="004B2282" w:rsidRPr="004C7A85" w:rsidRDefault="004B2282" w:rsidP="004B2282">
      <w:pPr>
        <w:pStyle w:val="Subtitel"/>
        <w:rPr>
          <w:lang w:val="nl-NL"/>
        </w:rPr>
      </w:pPr>
      <w:r w:rsidRPr="004C7A85">
        <w:rPr>
          <w:lang w:val="nl-NL"/>
        </w:rPr>
        <w:t>Vraag 2</w:t>
      </w:r>
    </w:p>
    <w:p w:rsidR="009926CA" w:rsidRPr="004C7A85" w:rsidRDefault="009926CA" w:rsidP="003D5E72">
      <w:pPr>
        <w:jc w:val="both"/>
        <w:rPr>
          <w:lang w:val="nl-NL"/>
        </w:rPr>
      </w:pPr>
      <w:r w:rsidRPr="004C7A85">
        <w:rPr>
          <w:lang w:val="nl-NL"/>
        </w:rPr>
        <w:t>(</w:t>
      </w:r>
      <w:r w:rsidR="006C5AC3">
        <w:rPr>
          <w:lang w:val="nl-NL"/>
        </w:rPr>
        <w:t>T</w:t>
      </w:r>
      <w:r w:rsidRPr="004C7A85">
        <w:rPr>
          <w:lang w:val="nl-NL"/>
        </w:rPr>
        <w:t>enta</w:t>
      </w:r>
      <w:r w:rsidR="006C5AC3">
        <w:rPr>
          <w:lang w:val="nl-NL"/>
        </w:rPr>
        <w:t>men 7/11/7, p152, opgaven 1b-1d</w:t>
      </w:r>
      <w:r w:rsidRPr="004C7A85">
        <w:rPr>
          <w:lang w:val="nl-NL"/>
        </w:rPr>
        <w:t>.</w:t>
      </w:r>
      <w:r w:rsidR="006C5AC3">
        <w:rPr>
          <w:lang w:val="nl-NL"/>
        </w:rPr>
        <w:t>)</w:t>
      </w:r>
      <w:r w:rsidRPr="004C7A85">
        <w:rPr>
          <w:lang w:val="nl-NL"/>
        </w:rPr>
        <w:t xml:space="preserve"> </w:t>
      </w:r>
    </w:p>
    <w:p w:rsidR="0078593C" w:rsidRPr="004C7A85" w:rsidRDefault="0078593C" w:rsidP="003D5E72">
      <w:pPr>
        <w:jc w:val="both"/>
        <w:rPr>
          <w:lang w:val="nl-NL"/>
        </w:rPr>
      </w:pPr>
      <w:r w:rsidRPr="004C7A85">
        <w:rPr>
          <w:lang w:val="nl-NL"/>
        </w:rPr>
        <w:t>B)</w:t>
      </w:r>
      <w:r w:rsidRPr="004C7A85">
        <w:rPr>
          <w:lang w:val="nl-NL"/>
        </w:rPr>
        <w:tab/>
      </w:r>
      <w:r w:rsidR="00DF1E74" w:rsidRPr="004C7A85">
        <w:rPr>
          <w:lang w:val="nl-NL"/>
        </w:rPr>
        <w:t xml:space="preserve">Ik heb de keuze uit de volgende </w:t>
      </w:r>
      <w:proofErr w:type="spellStart"/>
      <w:r w:rsidR="00DF1E74" w:rsidRPr="004C7A85">
        <w:rPr>
          <w:lang w:val="nl-NL"/>
        </w:rPr>
        <w:t>niet-parametrische</w:t>
      </w:r>
      <w:proofErr w:type="spellEnd"/>
      <w:r w:rsidR="00DF1E74" w:rsidRPr="004C7A85">
        <w:rPr>
          <w:lang w:val="nl-NL"/>
        </w:rPr>
        <w:t xml:space="preserve"> toetsen uit hoofdstuk 5:</w:t>
      </w:r>
    </w:p>
    <w:p w:rsidR="00DF1E74" w:rsidRPr="004C7A85" w:rsidRDefault="00DF1E74" w:rsidP="003D5E72">
      <w:pPr>
        <w:numPr>
          <w:ilvl w:val="0"/>
          <w:numId w:val="3"/>
        </w:numPr>
        <w:jc w:val="both"/>
        <w:rPr>
          <w:lang w:val="nl-NL"/>
        </w:rPr>
      </w:pPr>
      <w:proofErr w:type="spellStart"/>
      <w:r w:rsidRPr="004C7A85">
        <w:rPr>
          <w:i/>
          <w:lang w:val="nl-NL"/>
        </w:rPr>
        <w:t>Wilcoxon</w:t>
      </w:r>
      <w:proofErr w:type="spellEnd"/>
      <w:r w:rsidRPr="004C7A85">
        <w:rPr>
          <w:i/>
          <w:lang w:val="nl-NL"/>
        </w:rPr>
        <w:t xml:space="preserve"> </w:t>
      </w:r>
      <w:proofErr w:type="spellStart"/>
      <w:r w:rsidRPr="004C7A85">
        <w:rPr>
          <w:i/>
          <w:lang w:val="nl-NL"/>
        </w:rPr>
        <w:t>signed-rank</w:t>
      </w:r>
      <w:proofErr w:type="spellEnd"/>
      <w:r w:rsidRPr="004C7A85">
        <w:rPr>
          <w:i/>
          <w:lang w:val="nl-NL"/>
        </w:rPr>
        <w:t xml:space="preserve"> test: </w:t>
      </w:r>
      <w:r w:rsidRPr="004C7A85">
        <w:rPr>
          <w:lang w:val="nl-NL"/>
        </w:rPr>
        <w:t xml:space="preserve">Tegenhanger van de </w:t>
      </w:r>
      <w:proofErr w:type="spellStart"/>
      <w:r w:rsidRPr="004C7A85">
        <w:rPr>
          <w:lang w:val="nl-NL"/>
        </w:rPr>
        <w:t>one-sample</w:t>
      </w:r>
      <w:proofErr w:type="spellEnd"/>
      <w:r w:rsidRPr="004C7A85">
        <w:rPr>
          <w:lang w:val="nl-NL"/>
        </w:rPr>
        <w:t xml:space="preserve"> </w:t>
      </w:r>
      <w:proofErr w:type="spellStart"/>
      <w:r w:rsidRPr="004C7A85">
        <w:rPr>
          <w:lang w:val="nl-NL"/>
        </w:rPr>
        <w:t>t-toets</w:t>
      </w:r>
      <w:proofErr w:type="spellEnd"/>
      <w:r w:rsidRPr="004C7A85">
        <w:rPr>
          <w:lang w:val="nl-NL"/>
        </w:rPr>
        <w:t xml:space="preserve">. Kijkt of de gemeten waardes uit een verdeling komen met </w:t>
      </w:r>
      <w:r w:rsidRPr="004C7A85">
        <w:rPr>
          <w:u w:val="single"/>
          <w:lang w:val="nl-NL"/>
        </w:rPr>
        <w:t>een bepaalde</w:t>
      </w:r>
      <w:r w:rsidRPr="004C7A85">
        <w:rPr>
          <w:lang w:val="nl-NL"/>
        </w:rPr>
        <w:t xml:space="preserve"> mediaan.</w:t>
      </w:r>
      <w:r w:rsidRPr="004C7A85">
        <w:rPr>
          <w:i/>
          <w:lang w:val="nl-NL"/>
        </w:rPr>
        <w:t xml:space="preserve"> </w:t>
      </w:r>
    </w:p>
    <w:p w:rsidR="00DF1E74" w:rsidRPr="004C7A85" w:rsidRDefault="00DF1E74" w:rsidP="003D5E72">
      <w:pPr>
        <w:numPr>
          <w:ilvl w:val="0"/>
          <w:numId w:val="3"/>
        </w:numPr>
        <w:jc w:val="both"/>
        <w:rPr>
          <w:lang w:val="nl-NL"/>
        </w:rPr>
      </w:pPr>
      <w:proofErr w:type="spellStart"/>
      <w:r w:rsidRPr="004C7A85">
        <w:rPr>
          <w:i/>
          <w:lang w:val="nl-NL"/>
        </w:rPr>
        <w:t>Mann-Whitney</w:t>
      </w:r>
      <w:proofErr w:type="spellEnd"/>
      <w:r w:rsidRPr="004C7A85">
        <w:rPr>
          <w:i/>
          <w:lang w:val="nl-NL"/>
        </w:rPr>
        <w:t xml:space="preserve"> </w:t>
      </w:r>
      <w:proofErr w:type="spellStart"/>
      <w:r w:rsidRPr="004C7A85">
        <w:rPr>
          <w:i/>
          <w:lang w:val="nl-NL"/>
        </w:rPr>
        <w:t>U-test</w:t>
      </w:r>
      <w:proofErr w:type="spellEnd"/>
      <w:r w:rsidRPr="004C7A85">
        <w:rPr>
          <w:i/>
          <w:lang w:val="nl-NL"/>
        </w:rPr>
        <w:t>:</w:t>
      </w:r>
      <w:r w:rsidRPr="004C7A85">
        <w:rPr>
          <w:lang w:val="nl-NL"/>
        </w:rPr>
        <w:t xml:space="preserve"> Tegenhanger van de </w:t>
      </w:r>
      <w:proofErr w:type="spellStart"/>
      <w:r w:rsidRPr="004C7A85">
        <w:rPr>
          <w:lang w:val="nl-NL"/>
        </w:rPr>
        <w:t>two-sample</w:t>
      </w:r>
      <w:proofErr w:type="spellEnd"/>
      <w:r w:rsidRPr="004C7A85">
        <w:rPr>
          <w:lang w:val="nl-NL"/>
        </w:rPr>
        <w:t xml:space="preserve"> </w:t>
      </w:r>
      <w:proofErr w:type="spellStart"/>
      <w:r w:rsidRPr="004C7A85">
        <w:rPr>
          <w:lang w:val="nl-NL"/>
        </w:rPr>
        <w:t>t-toets</w:t>
      </w:r>
      <w:proofErr w:type="spellEnd"/>
      <w:r w:rsidRPr="004C7A85">
        <w:rPr>
          <w:lang w:val="nl-NL"/>
        </w:rPr>
        <w:t xml:space="preserve">. Kijkt of de gemeten waardes uit een verdeling komen met </w:t>
      </w:r>
      <w:r w:rsidRPr="004C7A85">
        <w:rPr>
          <w:u w:val="single"/>
          <w:lang w:val="nl-NL"/>
        </w:rPr>
        <w:t>dezelfde</w:t>
      </w:r>
      <w:r w:rsidRPr="004C7A85">
        <w:rPr>
          <w:lang w:val="nl-NL"/>
        </w:rPr>
        <w:t xml:space="preserve"> mediaan.</w:t>
      </w:r>
    </w:p>
    <w:p w:rsidR="008A7F04" w:rsidRPr="004C7A85" w:rsidRDefault="00716244" w:rsidP="003D5E72">
      <w:pPr>
        <w:ind w:left="705"/>
        <w:jc w:val="both"/>
        <w:rPr>
          <w:lang w:val="nl-NL"/>
        </w:rPr>
      </w:pPr>
      <w:r w:rsidRPr="004C7A85">
        <w:rPr>
          <w:lang w:val="nl-NL"/>
        </w:rPr>
        <w:lastRenderedPageBreak/>
        <w:t xml:space="preserve">Hier moet even bij worden opgemerkt </w:t>
      </w:r>
      <w:r w:rsidR="008A7F04" w:rsidRPr="004C7A85">
        <w:rPr>
          <w:lang w:val="nl-NL"/>
        </w:rPr>
        <w:t xml:space="preserve">dat je ook de </w:t>
      </w:r>
      <w:proofErr w:type="spellStart"/>
      <w:r w:rsidR="008A7F04" w:rsidRPr="004C7A85">
        <w:rPr>
          <w:i/>
          <w:lang w:val="nl-NL"/>
        </w:rPr>
        <w:t>Wilcoxon</w:t>
      </w:r>
      <w:proofErr w:type="spellEnd"/>
      <w:r w:rsidR="008A7F04" w:rsidRPr="004C7A85">
        <w:rPr>
          <w:i/>
          <w:lang w:val="nl-NL"/>
        </w:rPr>
        <w:t xml:space="preserve"> </w:t>
      </w:r>
      <w:proofErr w:type="spellStart"/>
      <w:r w:rsidR="008A7F04" w:rsidRPr="004C7A85">
        <w:rPr>
          <w:i/>
          <w:lang w:val="nl-NL"/>
        </w:rPr>
        <w:t>signed-rank</w:t>
      </w:r>
      <w:proofErr w:type="spellEnd"/>
      <w:r w:rsidR="008A7F04" w:rsidRPr="004C7A85">
        <w:rPr>
          <w:i/>
          <w:lang w:val="nl-NL"/>
        </w:rPr>
        <w:t xml:space="preserve"> test</w:t>
      </w:r>
      <w:r w:rsidR="008A7F04" w:rsidRPr="004C7A85">
        <w:rPr>
          <w:lang w:val="nl-NL"/>
        </w:rPr>
        <w:t xml:space="preserve"> kunt gebruiken om gepaarde waarnemingen te vergelijken. Dat doe je door de waardes van elkaar af te trekken en “0” te gebruiken als referentiewaarde.</w:t>
      </w:r>
    </w:p>
    <w:p w:rsidR="00824270" w:rsidRDefault="008A7F04" w:rsidP="00824270">
      <w:pPr>
        <w:ind w:left="705"/>
        <w:jc w:val="both"/>
        <w:rPr>
          <w:lang w:val="nl-NL"/>
        </w:rPr>
      </w:pPr>
      <w:r w:rsidRPr="004C7A85">
        <w:rPr>
          <w:lang w:val="nl-NL"/>
        </w:rPr>
        <w:t xml:space="preserve">Dat laatste gaan we dan dus natuurlijk ook doen. </w:t>
      </w:r>
      <w:r w:rsidR="00824270">
        <w:rPr>
          <w:lang w:val="nl-NL"/>
        </w:rPr>
        <w:t>(NB: Dat je hier al te maken hebt met gemiddelden maakt verder niets uit.)</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9"/>
        <w:gridCol w:w="530"/>
        <w:gridCol w:w="530"/>
        <w:gridCol w:w="530"/>
        <w:gridCol w:w="530"/>
        <w:gridCol w:w="530"/>
        <w:gridCol w:w="530"/>
        <w:gridCol w:w="530"/>
        <w:gridCol w:w="530"/>
        <w:gridCol w:w="530"/>
        <w:gridCol w:w="530"/>
      </w:tblGrid>
      <w:tr w:rsidR="00C02B3F" w:rsidTr="00824270">
        <w:trPr>
          <w:trHeight w:val="255"/>
        </w:trPr>
        <w:tc>
          <w:tcPr>
            <w:tcW w:w="819" w:type="dxa"/>
            <w:shd w:val="clear" w:color="auto" w:fill="auto"/>
            <w:noWrap/>
            <w:vAlign w:val="bottom"/>
          </w:tcPr>
          <w:p w:rsidR="00C02B3F" w:rsidRPr="00C02B3F" w:rsidRDefault="00C02B3F" w:rsidP="003D5E72">
            <w:pPr>
              <w:jc w:val="both"/>
              <w:rPr>
                <w:rFonts w:ascii="Arial" w:hAnsi="Arial" w:cs="Arial"/>
                <w:sz w:val="20"/>
                <w:szCs w:val="20"/>
              </w:rPr>
            </w:pPr>
            <w:proofErr w:type="spellStart"/>
            <w:r w:rsidRPr="00C02B3F">
              <w:rPr>
                <w:rFonts w:ascii="Arial" w:hAnsi="Arial" w:cs="Arial"/>
                <w:sz w:val="20"/>
                <w:szCs w:val="20"/>
              </w:rPr>
              <w:t>Vit</w:t>
            </w:r>
            <w:proofErr w:type="spellEnd"/>
            <w:r w:rsidRPr="00C02B3F">
              <w:rPr>
                <w:rFonts w:ascii="Arial" w:hAnsi="Arial" w:cs="Arial"/>
                <w:sz w:val="20"/>
                <w:szCs w:val="20"/>
              </w:rPr>
              <w:t>. D</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4,25</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4,15</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4,16</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4,17</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4,68</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6,59</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6,77</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6,04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6,34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6,21</w:t>
            </w:r>
          </w:p>
        </w:tc>
      </w:tr>
      <w:tr w:rsidR="00C02B3F" w:rsidTr="00824270">
        <w:trPr>
          <w:trHeight w:val="255"/>
        </w:trPr>
        <w:tc>
          <w:tcPr>
            <w:tcW w:w="819" w:type="dxa"/>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Control</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4,16</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4,12</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4,13</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4,54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4,37</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5,5</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4,95</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4,51</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4,22</w:t>
            </w:r>
          </w:p>
        </w:tc>
      </w:tr>
      <w:tr w:rsidR="00C02B3F" w:rsidTr="00824270">
        <w:trPr>
          <w:trHeight w:val="255"/>
        </w:trPr>
        <w:tc>
          <w:tcPr>
            <w:tcW w:w="819" w:type="dxa"/>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Versch.</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0,09</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0,03</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0,02</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0,04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0,14</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2,22</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1,27</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1,09</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1,83</w:t>
            </w:r>
          </w:p>
        </w:tc>
        <w:tc>
          <w:tcPr>
            <w:tcW w:w="0" w:type="auto"/>
            <w:shd w:val="clear" w:color="auto" w:fill="auto"/>
            <w:noWrap/>
            <w:vAlign w:val="bottom"/>
          </w:tcPr>
          <w:p w:rsidR="00C02B3F" w:rsidRPr="00C02B3F" w:rsidRDefault="00C02B3F" w:rsidP="003D5E72">
            <w:pPr>
              <w:jc w:val="both"/>
              <w:rPr>
                <w:rFonts w:ascii="Arial" w:hAnsi="Arial" w:cs="Arial"/>
                <w:sz w:val="20"/>
                <w:szCs w:val="20"/>
              </w:rPr>
            </w:pPr>
            <w:r w:rsidRPr="00C02B3F">
              <w:rPr>
                <w:rFonts w:ascii="Arial" w:hAnsi="Arial" w:cs="Arial"/>
                <w:sz w:val="20"/>
                <w:szCs w:val="20"/>
              </w:rPr>
              <w:t>1,99</w:t>
            </w:r>
          </w:p>
        </w:tc>
      </w:tr>
    </w:tbl>
    <w:p w:rsidR="00C02B3F" w:rsidRDefault="00C02B3F" w:rsidP="003D5E72">
      <w:pPr>
        <w:jc w:val="both"/>
      </w:pPr>
    </w:p>
    <w:tbl>
      <w:tblPr>
        <w:tblStyle w:val="Tabelraster"/>
        <w:tblW w:w="0" w:type="auto"/>
        <w:tblInd w:w="828" w:type="dxa"/>
        <w:tblLook w:val="01E0"/>
      </w:tblPr>
      <w:tblGrid>
        <w:gridCol w:w="620"/>
        <w:gridCol w:w="606"/>
        <w:gridCol w:w="606"/>
        <w:gridCol w:w="606"/>
        <w:gridCol w:w="606"/>
        <w:gridCol w:w="606"/>
        <w:gridCol w:w="606"/>
        <w:gridCol w:w="606"/>
        <w:gridCol w:w="606"/>
        <w:gridCol w:w="606"/>
        <w:gridCol w:w="606"/>
      </w:tblGrid>
      <w:tr w:rsidR="00C02B3F" w:rsidRPr="00D02A9E" w:rsidTr="00766447">
        <w:tc>
          <w:tcPr>
            <w:tcW w:w="0" w:type="auto"/>
          </w:tcPr>
          <w:p w:rsidR="00C02B3F" w:rsidRPr="00D02A9E" w:rsidRDefault="00C02B3F" w:rsidP="003D5E72">
            <w:pPr>
              <w:jc w:val="both"/>
              <w:rPr>
                <w:sz w:val="20"/>
                <w:szCs w:val="20"/>
              </w:rPr>
            </w:pPr>
            <w:r w:rsidRPr="00D02A9E">
              <w:rPr>
                <w:sz w:val="20"/>
                <w:szCs w:val="20"/>
              </w:rPr>
              <w:t>Data</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0,02</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0,03</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0,04</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0,09</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0,14</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1,09</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1,27</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1,83</w:t>
            </w:r>
          </w:p>
        </w:tc>
        <w:tc>
          <w:tcPr>
            <w:tcW w:w="0" w:type="auto"/>
            <w:vAlign w:val="bottom"/>
          </w:tcPr>
          <w:p w:rsidR="00C02B3F" w:rsidRPr="00C02B3F" w:rsidRDefault="00C02B3F" w:rsidP="003D5E72">
            <w:pPr>
              <w:jc w:val="both"/>
              <w:rPr>
                <w:rFonts w:ascii="Arial" w:hAnsi="Arial" w:cs="Arial"/>
                <w:sz w:val="20"/>
                <w:szCs w:val="20"/>
              </w:rPr>
            </w:pPr>
            <w:r>
              <w:rPr>
                <w:rFonts w:ascii="Arial" w:hAnsi="Arial" w:cs="Arial"/>
                <w:sz w:val="20"/>
                <w:szCs w:val="20"/>
              </w:rPr>
              <w:t>1,99</w:t>
            </w:r>
          </w:p>
        </w:tc>
        <w:tc>
          <w:tcPr>
            <w:tcW w:w="0" w:type="auto"/>
          </w:tcPr>
          <w:p w:rsidR="00C02B3F" w:rsidRPr="00C02B3F" w:rsidRDefault="00C02B3F" w:rsidP="003D5E72">
            <w:pPr>
              <w:jc w:val="both"/>
              <w:rPr>
                <w:rFonts w:ascii="Arial" w:hAnsi="Arial" w:cs="Arial"/>
                <w:sz w:val="20"/>
                <w:szCs w:val="20"/>
              </w:rPr>
            </w:pPr>
            <w:r>
              <w:rPr>
                <w:rFonts w:ascii="Arial" w:hAnsi="Arial" w:cs="Arial"/>
                <w:sz w:val="20"/>
                <w:szCs w:val="20"/>
              </w:rPr>
              <w:t>2,22</w:t>
            </w:r>
          </w:p>
        </w:tc>
      </w:tr>
      <w:tr w:rsidR="00C02B3F" w:rsidRPr="00D02A9E" w:rsidTr="00766447">
        <w:tc>
          <w:tcPr>
            <w:tcW w:w="0" w:type="auto"/>
          </w:tcPr>
          <w:p w:rsidR="00C02B3F" w:rsidRPr="00D02A9E" w:rsidRDefault="00C02B3F" w:rsidP="003D5E72">
            <w:pPr>
              <w:jc w:val="both"/>
              <w:rPr>
                <w:sz w:val="20"/>
                <w:szCs w:val="20"/>
              </w:rPr>
            </w:pPr>
            <w:r w:rsidRPr="00D02A9E">
              <w:rPr>
                <w:sz w:val="20"/>
                <w:szCs w:val="20"/>
              </w:rPr>
              <w:t>Rang</w:t>
            </w:r>
          </w:p>
        </w:tc>
        <w:tc>
          <w:tcPr>
            <w:tcW w:w="0" w:type="auto"/>
          </w:tcPr>
          <w:p w:rsidR="00C02B3F" w:rsidRPr="00D02A9E" w:rsidRDefault="00C02B3F" w:rsidP="003D5E72">
            <w:pPr>
              <w:jc w:val="both"/>
              <w:rPr>
                <w:sz w:val="20"/>
                <w:szCs w:val="20"/>
              </w:rPr>
            </w:pPr>
            <w:r w:rsidRPr="00D02A9E">
              <w:rPr>
                <w:sz w:val="20"/>
                <w:szCs w:val="20"/>
              </w:rPr>
              <w:t>1</w:t>
            </w:r>
          </w:p>
        </w:tc>
        <w:tc>
          <w:tcPr>
            <w:tcW w:w="0" w:type="auto"/>
          </w:tcPr>
          <w:p w:rsidR="00C02B3F" w:rsidRPr="00D02A9E" w:rsidRDefault="00C02B3F" w:rsidP="003D5E72">
            <w:pPr>
              <w:jc w:val="both"/>
              <w:rPr>
                <w:sz w:val="20"/>
                <w:szCs w:val="20"/>
              </w:rPr>
            </w:pPr>
            <w:r w:rsidRPr="00D02A9E">
              <w:rPr>
                <w:sz w:val="20"/>
                <w:szCs w:val="20"/>
              </w:rPr>
              <w:t>2</w:t>
            </w:r>
          </w:p>
        </w:tc>
        <w:tc>
          <w:tcPr>
            <w:tcW w:w="0" w:type="auto"/>
          </w:tcPr>
          <w:p w:rsidR="00C02B3F" w:rsidRPr="00D02A9E" w:rsidRDefault="00C02B3F" w:rsidP="003D5E72">
            <w:pPr>
              <w:jc w:val="both"/>
              <w:rPr>
                <w:sz w:val="20"/>
                <w:szCs w:val="20"/>
              </w:rPr>
            </w:pPr>
            <w:r>
              <w:rPr>
                <w:sz w:val="20"/>
                <w:szCs w:val="20"/>
              </w:rPr>
              <w:t>3</w:t>
            </w:r>
          </w:p>
        </w:tc>
        <w:tc>
          <w:tcPr>
            <w:tcW w:w="0" w:type="auto"/>
          </w:tcPr>
          <w:p w:rsidR="00C02B3F" w:rsidRPr="00D02A9E" w:rsidRDefault="00C02B3F" w:rsidP="003D5E72">
            <w:pPr>
              <w:jc w:val="both"/>
              <w:rPr>
                <w:sz w:val="20"/>
                <w:szCs w:val="20"/>
              </w:rPr>
            </w:pPr>
            <w:r>
              <w:rPr>
                <w:sz w:val="20"/>
                <w:szCs w:val="20"/>
              </w:rPr>
              <w:t>4</w:t>
            </w:r>
          </w:p>
        </w:tc>
        <w:tc>
          <w:tcPr>
            <w:tcW w:w="0" w:type="auto"/>
          </w:tcPr>
          <w:p w:rsidR="00C02B3F" w:rsidRPr="00D02A9E" w:rsidRDefault="00C02B3F" w:rsidP="003D5E72">
            <w:pPr>
              <w:jc w:val="both"/>
              <w:rPr>
                <w:sz w:val="20"/>
                <w:szCs w:val="20"/>
              </w:rPr>
            </w:pPr>
            <w:r w:rsidRPr="00D02A9E">
              <w:rPr>
                <w:sz w:val="20"/>
                <w:szCs w:val="20"/>
              </w:rPr>
              <w:t>5</w:t>
            </w:r>
          </w:p>
        </w:tc>
        <w:tc>
          <w:tcPr>
            <w:tcW w:w="0" w:type="auto"/>
          </w:tcPr>
          <w:p w:rsidR="00C02B3F" w:rsidRPr="00D02A9E" w:rsidRDefault="00C02B3F" w:rsidP="003D5E72">
            <w:pPr>
              <w:jc w:val="both"/>
              <w:rPr>
                <w:sz w:val="20"/>
                <w:szCs w:val="20"/>
              </w:rPr>
            </w:pPr>
            <w:r w:rsidRPr="00D02A9E">
              <w:rPr>
                <w:sz w:val="20"/>
                <w:szCs w:val="20"/>
              </w:rPr>
              <w:t>6</w:t>
            </w:r>
          </w:p>
        </w:tc>
        <w:tc>
          <w:tcPr>
            <w:tcW w:w="0" w:type="auto"/>
          </w:tcPr>
          <w:p w:rsidR="00C02B3F" w:rsidRPr="00D02A9E" w:rsidRDefault="00C02B3F" w:rsidP="003D5E72">
            <w:pPr>
              <w:jc w:val="both"/>
              <w:rPr>
                <w:sz w:val="20"/>
                <w:szCs w:val="20"/>
              </w:rPr>
            </w:pPr>
            <w:r w:rsidRPr="00D02A9E">
              <w:rPr>
                <w:sz w:val="20"/>
                <w:szCs w:val="20"/>
              </w:rPr>
              <w:t>7</w:t>
            </w:r>
          </w:p>
        </w:tc>
        <w:tc>
          <w:tcPr>
            <w:tcW w:w="0" w:type="auto"/>
          </w:tcPr>
          <w:p w:rsidR="00C02B3F" w:rsidRPr="00D02A9E" w:rsidRDefault="00C02B3F" w:rsidP="003D5E72">
            <w:pPr>
              <w:jc w:val="both"/>
              <w:rPr>
                <w:sz w:val="20"/>
                <w:szCs w:val="20"/>
              </w:rPr>
            </w:pPr>
            <w:r w:rsidRPr="00D02A9E">
              <w:rPr>
                <w:sz w:val="20"/>
                <w:szCs w:val="20"/>
              </w:rPr>
              <w:t>8</w:t>
            </w:r>
          </w:p>
        </w:tc>
        <w:tc>
          <w:tcPr>
            <w:tcW w:w="0" w:type="auto"/>
          </w:tcPr>
          <w:p w:rsidR="00C02B3F" w:rsidRPr="00D02A9E" w:rsidRDefault="00C02B3F" w:rsidP="003D5E72">
            <w:pPr>
              <w:jc w:val="both"/>
              <w:rPr>
                <w:sz w:val="20"/>
                <w:szCs w:val="20"/>
              </w:rPr>
            </w:pPr>
            <w:r w:rsidRPr="00D02A9E">
              <w:rPr>
                <w:sz w:val="20"/>
                <w:szCs w:val="20"/>
              </w:rPr>
              <w:t>9</w:t>
            </w:r>
          </w:p>
        </w:tc>
        <w:tc>
          <w:tcPr>
            <w:tcW w:w="0" w:type="auto"/>
          </w:tcPr>
          <w:p w:rsidR="00C02B3F" w:rsidRPr="00D02A9E" w:rsidRDefault="00C02B3F" w:rsidP="003D5E72">
            <w:pPr>
              <w:jc w:val="both"/>
              <w:rPr>
                <w:sz w:val="20"/>
                <w:szCs w:val="20"/>
              </w:rPr>
            </w:pPr>
            <w:r>
              <w:rPr>
                <w:sz w:val="20"/>
                <w:szCs w:val="20"/>
              </w:rPr>
              <w:t>10</w:t>
            </w:r>
          </w:p>
        </w:tc>
      </w:tr>
    </w:tbl>
    <w:p w:rsidR="00C02B3F" w:rsidRDefault="00C02B3F" w:rsidP="003D5E72">
      <w:pPr>
        <w:jc w:val="both"/>
      </w:pPr>
    </w:p>
    <w:p w:rsidR="002C46EA" w:rsidRPr="004C7A85" w:rsidRDefault="00C02B3F" w:rsidP="003D5E72">
      <w:pPr>
        <w:ind w:left="708"/>
        <w:jc w:val="both"/>
        <w:rPr>
          <w:lang w:val="nl-NL"/>
        </w:rPr>
      </w:pPr>
      <w:proofErr w:type="spellStart"/>
      <w:r w:rsidRPr="004C7A85">
        <w:rPr>
          <w:lang w:val="nl-NL"/>
        </w:rPr>
        <w:t>T</w:t>
      </w:r>
      <w:r w:rsidRPr="004C7A85">
        <w:rPr>
          <w:vertAlign w:val="subscript"/>
          <w:lang w:val="nl-NL"/>
        </w:rPr>
        <w:t>cal</w:t>
      </w:r>
      <w:proofErr w:type="spellEnd"/>
      <w:r w:rsidRPr="004C7A85">
        <w:rPr>
          <w:vertAlign w:val="subscript"/>
          <w:lang w:val="nl-NL"/>
        </w:rPr>
        <w:t>,+</w:t>
      </w:r>
      <w:r w:rsidRPr="004C7A85">
        <w:rPr>
          <w:lang w:val="nl-NL"/>
        </w:rPr>
        <w:t xml:space="preserve"> = </w:t>
      </w:r>
      <w:r w:rsidR="00824270">
        <w:rPr>
          <w:lang w:val="nl-NL"/>
        </w:rPr>
        <w:t>55</w:t>
      </w:r>
      <w:r w:rsidRPr="004C7A85">
        <w:rPr>
          <w:lang w:val="nl-NL"/>
        </w:rPr>
        <w:t xml:space="preserve">; </w:t>
      </w:r>
      <w:proofErr w:type="spellStart"/>
      <w:r w:rsidRPr="004C7A85">
        <w:rPr>
          <w:lang w:val="nl-NL"/>
        </w:rPr>
        <w:t>T</w:t>
      </w:r>
      <w:r w:rsidRPr="004C7A85">
        <w:rPr>
          <w:vertAlign w:val="subscript"/>
          <w:lang w:val="nl-NL"/>
        </w:rPr>
        <w:t>cal</w:t>
      </w:r>
      <w:proofErr w:type="spellEnd"/>
      <w:r w:rsidRPr="004C7A85">
        <w:rPr>
          <w:vertAlign w:val="subscript"/>
          <w:lang w:val="nl-NL"/>
        </w:rPr>
        <w:t>,-</w:t>
      </w:r>
      <w:r w:rsidRPr="004C7A85">
        <w:rPr>
          <w:lang w:val="nl-NL"/>
        </w:rPr>
        <w:t xml:space="preserve"> = 0. Dan kijken we in tabel A.9: je zou ervan uit kunnen gaan dat dit eenzijdig is, omdat je alleen een positief verschil verwacht (en ziet), maar ik vind dat toch een aanname die je niet snel moet maken. </w:t>
      </w:r>
      <w:r w:rsidR="004D4C0F" w:rsidRPr="004C7A85">
        <w:rPr>
          <w:lang w:val="nl-NL"/>
        </w:rPr>
        <w:t xml:space="preserve">In elk geval is in beide gevallen bij n = 10 de </w:t>
      </w:r>
      <w:proofErr w:type="spellStart"/>
      <w:r w:rsidR="004D4C0F" w:rsidRPr="004C7A85">
        <w:rPr>
          <w:lang w:val="nl-NL"/>
        </w:rPr>
        <w:t>getabelleerde</w:t>
      </w:r>
      <w:proofErr w:type="spellEnd"/>
      <w:r w:rsidR="004D4C0F" w:rsidRPr="004C7A85">
        <w:rPr>
          <w:lang w:val="nl-NL"/>
        </w:rPr>
        <w:t xml:space="preserve"> waarde (10 en 8, respectievelijk eenzijdig en tweezijdig) groter dan onze toetsingswaarde, die namelijk 0 is. De nulhypothese (medianen reeksen waarnemingen niet </w:t>
      </w:r>
      <w:proofErr w:type="spellStart"/>
      <w:r w:rsidR="004D4C0F" w:rsidRPr="004C7A85">
        <w:rPr>
          <w:lang w:val="nl-NL"/>
        </w:rPr>
        <w:t>sign</w:t>
      </w:r>
      <w:proofErr w:type="spellEnd"/>
      <w:r w:rsidR="004D4C0F" w:rsidRPr="004C7A85">
        <w:rPr>
          <w:lang w:val="nl-NL"/>
        </w:rPr>
        <w:t>. verschillend</w:t>
      </w:r>
      <w:r w:rsidR="00102A35" w:rsidRPr="004C7A85">
        <w:rPr>
          <w:lang w:val="nl-NL"/>
        </w:rPr>
        <w:t>)</w:t>
      </w:r>
      <w:r w:rsidR="002C46EA" w:rsidRPr="004C7A85">
        <w:rPr>
          <w:lang w:val="nl-NL"/>
        </w:rPr>
        <w:t xml:space="preserve"> moet dus worden verworpen, en de H</w:t>
      </w:r>
      <w:r w:rsidR="002C46EA" w:rsidRPr="004C7A85">
        <w:rPr>
          <w:vertAlign w:val="subscript"/>
          <w:lang w:val="nl-NL"/>
        </w:rPr>
        <w:t>1</w:t>
      </w:r>
      <w:r w:rsidR="002C46EA" w:rsidRPr="004C7A85">
        <w:rPr>
          <w:lang w:val="nl-NL"/>
        </w:rPr>
        <w:t xml:space="preserve"> wordt geaccepteerd (de medianen zijn </w:t>
      </w:r>
      <w:proofErr w:type="spellStart"/>
      <w:r w:rsidR="002C46EA" w:rsidRPr="004C7A85">
        <w:rPr>
          <w:lang w:val="nl-NL"/>
        </w:rPr>
        <w:t>sign</w:t>
      </w:r>
      <w:proofErr w:type="spellEnd"/>
      <w:r w:rsidR="002C46EA" w:rsidRPr="004C7A85">
        <w:rPr>
          <w:lang w:val="nl-NL"/>
        </w:rPr>
        <w:t>. verschillend). Er is dus waarschijnlijk sprake van een effect.</w:t>
      </w:r>
    </w:p>
    <w:p w:rsidR="002C46EA" w:rsidRPr="004C7A85" w:rsidRDefault="002C46EA" w:rsidP="003D5E72">
      <w:pPr>
        <w:ind w:left="705" w:hanging="705"/>
        <w:jc w:val="both"/>
        <w:rPr>
          <w:lang w:val="nl-NL"/>
        </w:rPr>
      </w:pPr>
      <w:r w:rsidRPr="004C7A85">
        <w:rPr>
          <w:lang w:val="nl-NL"/>
        </w:rPr>
        <w:t>C)</w:t>
      </w:r>
      <w:r w:rsidRPr="004C7A85">
        <w:rPr>
          <w:lang w:val="nl-NL"/>
        </w:rPr>
        <w:tab/>
      </w:r>
      <w:r w:rsidR="00766447" w:rsidRPr="004C7A85">
        <w:rPr>
          <w:lang w:val="nl-NL"/>
        </w:rPr>
        <w:t xml:space="preserve">Als parametrisch alternatief moet je natuurlijk ook een gepaarde waarnemingen toets doen. Om te testen of je deze mag doen moet je testen of de </w:t>
      </w:r>
      <w:r w:rsidR="00824270">
        <w:rPr>
          <w:i/>
          <w:lang w:val="nl-NL"/>
        </w:rPr>
        <w:t>verschillen</w:t>
      </w:r>
      <w:r w:rsidR="00824270" w:rsidRPr="00824270">
        <w:rPr>
          <w:lang w:val="nl-NL"/>
        </w:rPr>
        <w:t xml:space="preserve"> </w:t>
      </w:r>
      <w:r w:rsidR="00824270" w:rsidRPr="00824270">
        <w:rPr>
          <w:i/>
          <w:lang w:val="nl-NL"/>
        </w:rPr>
        <w:t>tussen</w:t>
      </w:r>
      <w:r w:rsidR="00824270" w:rsidRPr="00824270">
        <w:rPr>
          <w:lang w:val="nl-NL"/>
        </w:rPr>
        <w:t xml:space="preserve"> de</w:t>
      </w:r>
      <w:r w:rsidR="00824270">
        <w:rPr>
          <w:i/>
          <w:lang w:val="nl-NL"/>
        </w:rPr>
        <w:t xml:space="preserve"> </w:t>
      </w:r>
      <w:r w:rsidR="00766447" w:rsidRPr="004C7A85">
        <w:rPr>
          <w:lang w:val="nl-NL"/>
        </w:rPr>
        <w:t xml:space="preserve">waarnemingen normaal verdeeld zijn. De volgende testen </w:t>
      </w:r>
      <w:proofErr w:type="spellStart"/>
      <w:r w:rsidR="00766447" w:rsidRPr="004C7A85">
        <w:rPr>
          <w:lang w:val="nl-NL"/>
        </w:rPr>
        <w:t>testen</w:t>
      </w:r>
      <w:proofErr w:type="spellEnd"/>
      <w:r w:rsidR="00766447" w:rsidRPr="004C7A85">
        <w:rPr>
          <w:lang w:val="nl-NL"/>
        </w:rPr>
        <w:t xml:space="preserve"> naar verdelingen:</w:t>
      </w:r>
    </w:p>
    <w:p w:rsidR="00766447" w:rsidRPr="004C7A85" w:rsidRDefault="00766447" w:rsidP="003D5E72">
      <w:pPr>
        <w:jc w:val="both"/>
        <w:rPr>
          <w:lang w:val="nl-NL"/>
        </w:rPr>
      </w:pPr>
      <w:r w:rsidRPr="004C7A85">
        <w:rPr>
          <w:lang w:val="nl-NL"/>
        </w:rPr>
        <w:tab/>
      </w:r>
      <w:r w:rsidRPr="004C7A85">
        <w:rPr>
          <w:lang w:val="nl-NL"/>
        </w:rPr>
        <w:tab/>
        <w:t xml:space="preserve">- </w:t>
      </w:r>
      <w:r w:rsidRPr="00766447">
        <w:rPr>
          <w:i/>
        </w:rPr>
        <w:t>χ</w:t>
      </w:r>
      <w:r w:rsidRPr="004C7A85">
        <w:rPr>
          <w:i/>
          <w:vertAlign w:val="superscript"/>
          <w:lang w:val="nl-NL"/>
        </w:rPr>
        <w:t>2</w:t>
      </w:r>
      <w:r w:rsidRPr="004C7A85">
        <w:rPr>
          <w:i/>
          <w:lang w:val="nl-NL"/>
        </w:rPr>
        <w:t>-test:</w:t>
      </w:r>
      <w:r w:rsidRPr="004C7A85">
        <w:rPr>
          <w:lang w:val="nl-NL"/>
        </w:rPr>
        <w:t xml:space="preserve"> </w:t>
      </w:r>
      <w:r w:rsidR="00D67EA7" w:rsidRPr="004C7A85">
        <w:rPr>
          <w:lang w:val="nl-NL"/>
        </w:rPr>
        <w:t>Indelen in hokjes en testen tegen verwachting.</w:t>
      </w:r>
    </w:p>
    <w:p w:rsidR="00766447" w:rsidRPr="004C7A85" w:rsidRDefault="00766447" w:rsidP="003D5E72">
      <w:pPr>
        <w:ind w:left="1413"/>
        <w:jc w:val="both"/>
        <w:rPr>
          <w:lang w:val="nl-NL"/>
        </w:rPr>
      </w:pPr>
      <w:r w:rsidRPr="004C7A85">
        <w:rPr>
          <w:lang w:val="nl-NL"/>
        </w:rPr>
        <w:t xml:space="preserve">- </w:t>
      </w:r>
      <w:proofErr w:type="spellStart"/>
      <w:r w:rsidRPr="004C7A85">
        <w:rPr>
          <w:i/>
          <w:lang w:val="nl-NL"/>
        </w:rPr>
        <w:t>Kolmogorov-Smirnov</w:t>
      </w:r>
      <w:proofErr w:type="spellEnd"/>
      <w:r w:rsidRPr="004C7A85">
        <w:rPr>
          <w:i/>
          <w:lang w:val="nl-NL"/>
        </w:rPr>
        <w:t xml:space="preserve"> test:</w:t>
      </w:r>
      <w:r w:rsidR="00D67EA7" w:rsidRPr="004C7A85">
        <w:rPr>
          <w:lang w:val="nl-NL"/>
        </w:rPr>
        <w:t xml:space="preserve"> Doet in feite hetzelfde maar dan op continue schaal (plotten met verwachting en onderling verschil testen).</w:t>
      </w:r>
      <w:r w:rsidR="003D5E72" w:rsidRPr="004C7A85">
        <w:rPr>
          <w:lang w:val="nl-NL"/>
        </w:rPr>
        <w:t xml:space="preserve"> Kan echter alleen met volledig gespecificeerde verdelingen (bv. testen of uit N(</w:t>
      </w:r>
      <w:r w:rsidR="003D5E72" w:rsidRPr="004C7A85">
        <w:rPr>
          <w:u w:val="single"/>
          <w:lang w:val="nl-NL"/>
        </w:rPr>
        <w:t>6.00,0.10</w:t>
      </w:r>
      <w:r w:rsidR="003D5E72" w:rsidRPr="004C7A85">
        <w:rPr>
          <w:lang w:val="nl-NL"/>
        </w:rPr>
        <w:t>)).</w:t>
      </w:r>
    </w:p>
    <w:p w:rsidR="00766447" w:rsidRPr="004C7A85" w:rsidRDefault="00766447" w:rsidP="003D5E72">
      <w:pPr>
        <w:ind w:left="1410"/>
        <w:jc w:val="both"/>
        <w:rPr>
          <w:lang w:val="nl-NL"/>
        </w:rPr>
      </w:pPr>
      <w:r w:rsidRPr="004C7A85">
        <w:rPr>
          <w:lang w:val="nl-NL"/>
        </w:rPr>
        <w:t xml:space="preserve">- </w:t>
      </w:r>
      <w:proofErr w:type="spellStart"/>
      <w:r w:rsidRPr="004C7A85">
        <w:rPr>
          <w:i/>
          <w:lang w:val="nl-NL"/>
        </w:rPr>
        <w:t>Shapiro-Wilks</w:t>
      </w:r>
      <w:proofErr w:type="spellEnd"/>
      <w:r w:rsidRPr="004C7A85">
        <w:rPr>
          <w:i/>
          <w:lang w:val="nl-NL"/>
        </w:rPr>
        <w:t>:</w:t>
      </w:r>
      <w:r w:rsidR="003D5E72" w:rsidRPr="004C7A85">
        <w:rPr>
          <w:lang w:val="nl-NL"/>
        </w:rPr>
        <w:t xml:space="preserve"> Test alleen of iets normaal verdeeld is. Test voor afwijking van ideale rechte lijn met kleinste kwadraten methoden, gebeurd gecomputeriseerd.</w:t>
      </w:r>
      <w:r w:rsidRPr="004C7A85">
        <w:rPr>
          <w:lang w:val="nl-NL"/>
        </w:rPr>
        <w:tab/>
      </w:r>
    </w:p>
    <w:p w:rsidR="00C02B3F" w:rsidRPr="004C7A85" w:rsidRDefault="003D5E72" w:rsidP="003D5E72">
      <w:pPr>
        <w:ind w:left="705"/>
        <w:jc w:val="both"/>
        <w:rPr>
          <w:lang w:val="nl-NL"/>
        </w:rPr>
      </w:pPr>
      <w:r w:rsidRPr="004C7A85">
        <w:rPr>
          <w:lang w:val="nl-NL"/>
        </w:rPr>
        <w:t>De</w:t>
      </w:r>
      <w:r w:rsidR="005C7758">
        <w:rPr>
          <w:lang w:val="nl-NL"/>
        </w:rPr>
        <w:t>ze</w:t>
      </w:r>
      <w:r w:rsidRPr="004C7A85">
        <w:rPr>
          <w:lang w:val="nl-NL"/>
        </w:rPr>
        <w:t xml:space="preserve"> laatste test is dus het meest ideaal, maar kan ik nu niet uitvoeren. </w:t>
      </w:r>
      <w:r w:rsidR="005C7758">
        <w:rPr>
          <w:lang w:val="nl-NL"/>
        </w:rPr>
        <w:t xml:space="preserve">Ook </w:t>
      </w:r>
      <w:proofErr w:type="spellStart"/>
      <w:r w:rsidR="005C7758" w:rsidRPr="005C7758">
        <w:rPr>
          <w:lang w:val="nl-NL"/>
        </w:rPr>
        <w:t>Kolmogorov-Smirnov</w:t>
      </w:r>
      <w:proofErr w:type="spellEnd"/>
      <w:r w:rsidR="005C7758" w:rsidRPr="005C7758">
        <w:rPr>
          <w:lang w:val="nl-NL"/>
        </w:rPr>
        <w:t xml:space="preserve"> test </w:t>
      </w:r>
      <w:r w:rsidR="005C7758">
        <w:rPr>
          <w:lang w:val="nl-NL"/>
        </w:rPr>
        <w:t xml:space="preserve">kan ik niet uitvoeren omdat je dan gemiddelde en standaarddeviatie moet weten. </w:t>
      </w:r>
      <w:r w:rsidRPr="004C7A85">
        <w:rPr>
          <w:lang w:val="nl-NL"/>
        </w:rPr>
        <w:t xml:space="preserve">Ik zou daarom de </w:t>
      </w:r>
      <w:r w:rsidR="005C7758" w:rsidRPr="005C7758">
        <w:rPr>
          <w:lang w:val="nl-NL"/>
        </w:rPr>
        <w:t>χ</w:t>
      </w:r>
      <w:r w:rsidR="005C7758" w:rsidRPr="005C7758">
        <w:rPr>
          <w:vertAlign w:val="superscript"/>
          <w:lang w:val="nl-NL"/>
        </w:rPr>
        <w:t>2</w:t>
      </w:r>
      <w:r w:rsidR="005C7758" w:rsidRPr="005C7758">
        <w:rPr>
          <w:lang w:val="nl-NL"/>
        </w:rPr>
        <w:t>-test</w:t>
      </w:r>
      <w:r w:rsidRPr="004C7A85">
        <w:rPr>
          <w:lang w:val="nl-NL"/>
        </w:rPr>
        <w:t xml:space="preserve"> ook kunnen doen. Dan ga je uit van een normale verd</w:t>
      </w:r>
      <w:r w:rsidR="00A30A50" w:rsidRPr="004C7A85">
        <w:rPr>
          <w:lang w:val="nl-NL"/>
        </w:rPr>
        <w:t xml:space="preserve">eling. Je schat dan het gemiddelde en de standaarddeviatie (van de waarnemingen op de verschillende tijdstippen), en maakt hier een theoretische verdeling mee (die voldoet aan de eisen op pagina 71). Aan de hand daarvan deel je de data in </w:t>
      </w:r>
      <w:proofErr w:type="spellStart"/>
      <w:r w:rsidR="00A30A50" w:rsidRPr="004C7A85">
        <w:rPr>
          <w:lang w:val="nl-NL"/>
        </w:rPr>
        <w:t>in</w:t>
      </w:r>
      <w:proofErr w:type="spellEnd"/>
      <w:r w:rsidR="00A30A50" w:rsidRPr="004C7A85">
        <w:rPr>
          <w:lang w:val="nl-NL"/>
        </w:rPr>
        <w:t xml:space="preserve"> “hokjes” en bereken je de toetsingsgrootheid. </w:t>
      </w:r>
    </w:p>
    <w:p w:rsidR="00A30A50" w:rsidRPr="004C7A85" w:rsidRDefault="00A30A50" w:rsidP="003D5E72">
      <w:pPr>
        <w:ind w:left="705"/>
        <w:jc w:val="both"/>
        <w:rPr>
          <w:lang w:val="nl-NL"/>
        </w:rPr>
      </w:pPr>
      <w:r w:rsidRPr="004C7A85">
        <w:rPr>
          <w:lang w:val="nl-NL"/>
        </w:rPr>
        <w:lastRenderedPageBreak/>
        <w:t xml:space="preserve">Het is wel </w:t>
      </w:r>
      <w:proofErr w:type="spellStart"/>
      <w:r w:rsidRPr="004C7A85">
        <w:rPr>
          <w:lang w:val="nl-NL"/>
        </w:rPr>
        <w:t>héél</w:t>
      </w:r>
      <w:proofErr w:type="spellEnd"/>
      <w:r w:rsidRPr="004C7A85">
        <w:rPr>
          <w:lang w:val="nl-NL"/>
        </w:rPr>
        <w:t xml:space="preserve"> moeilijk op het oog te zien of het normaal verdeeld is of niet, vooral omdat het ook nog een gepaarde test is. Als je een grafiekje van plot</w:t>
      </w:r>
      <w:r w:rsidR="000A3DF0" w:rsidRPr="004C7A85">
        <w:rPr>
          <w:lang w:val="nl-NL"/>
        </w:rPr>
        <w:t xml:space="preserve"> van de verschillen (zie onder, links) zou je </w:t>
      </w:r>
      <w:r w:rsidR="005C7758">
        <w:rPr>
          <w:lang w:val="nl-NL"/>
        </w:rPr>
        <w:t xml:space="preserve">verwachten </w:t>
      </w:r>
      <w:r w:rsidR="000A3DF0" w:rsidRPr="004C7A85">
        <w:rPr>
          <w:lang w:val="nl-NL"/>
        </w:rPr>
        <w:t>dat de meeste waarnemingen rond een centrale waarde liggen (zie onder, rechts, voor voorbeeldje). Dit is niet het geval</w:t>
      </w:r>
      <w:r w:rsidR="005C7758">
        <w:rPr>
          <w:lang w:val="nl-NL"/>
        </w:rPr>
        <w:t xml:space="preserve"> (er zijn in plaats daarvan 5 kleine en 5 grote verschillen)</w:t>
      </w:r>
      <w:r w:rsidR="000A3DF0" w:rsidRPr="004C7A85">
        <w:rPr>
          <w:lang w:val="nl-NL"/>
        </w:rPr>
        <w:t xml:space="preserve">, en ik verwacht dus </w:t>
      </w:r>
      <w:r w:rsidR="005C7758">
        <w:rPr>
          <w:lang w:val="nl-NL"/>
        </w:rPr>
        <w:t>niet dat hier sprake is van een</w:t>
      </w:r>
      <w:r w:rsidR="000A3DF0" w:rsidRPr="004C7A85">
        <w:rPr>
          <w:lang w:val="nl-NL"/>
        </w:rPr>
        <w:t xml:space="preserve"> normale verdeling.</w:t>
      </w:r>
    </w:p>
    <w:p w:rsidR="00A30A50" w:rsidRPr="004C7A85" w:rsidRDefault="00A30A50" w:rsidP="003D5E72">
      <w:pPr>
        <w:ind w:left="705"/>
        <w:jc w:val="both"/>
        <w:rPr>
          <w:lang w:val="nl-NL"/>
        </w:rPr>
      </w:pPr>
    </w:p>
    <w:p w:rsidR="00A30A50" w:rsidRPr="000A3DF0" w:rsidRDefault="00476004" w:rsidP="003D5E72">
      <w:pPr>
        <w:ind w:left="705"/>
        <w:jc w:val="both"/>
      </w:pPr>
      <w:r>
        <w:rPr>
          <w:noProof/>
          <w:lang w:val="nl-NL" w:eastAsia="nl-NL" w:bidi="ar-SA"/>
        </w:rPr>
        <w:drawing>
          <wp:inline distT="0" distB="0" distL="0" distR="0">
            <wp:extent cx="2528570" cy="1041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28570" cy="1041400"/>
                    </a:xfrm>
                    <a:prstGeom prst="rect">
                      <a:avLst/>
                    </a:prstGeom>
                    <a:noFill/>
                    <a:ln w="9525">
                      <a:noFill/>
                      <a:miter lim="800000"/>
                      <a:headEnd/>
                      <a:tailEnd/>
                    </a:ln>
                  </pic:spPr>
                </pic:pic>
              </a:graphicData>
            </a:graphic>
          </wp:inline>
        </w:drawing>
      </w:r>
      <w:r>
        <w:rPr>
          <w:noProof/>
          <w:lang w:val="nl-NL" w:eastAsia="nl-NL" w:bidi="ar-SA"/>
        </w:rPr>
        <w:drawing>
          <wp:inline distT="0" distB="0" distL="0" distR="0">
            <wp:extent cx="2520315" cy="1041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20315" cy="1041400"/>
                    </a:xfrm>
                    <a:prstGeom prst="rect">
                      <a:avLst/>
                    </a:prstGeom>
                    <a:noFill/>
                    <a:ln w="9525">
                      <a:noFill/>
                      <a:miter lim="800000"/>
                      <a:headEnd/>
                      <a:tailEnd/>
                    </a:ln>
                  </pic:spPr>
                </pic:pic>
              </a:graphicData>
            </a:graphic>
          </wp:inline>
        </w:drawing>
      </w:r>
    </w:p>
    <w:p w:rsidR="00A30A50" w:rsidRDefault="00A30A50" w:rsidP="003D5E72">
      <w:pPr>
        <w:ind w:left="705"/>
        <w:jc w:val="both"/>
      </w:pPr>
    </w:p>
    <w:p w:rsidR="00A30A50" w:rsidRPr="000A3DF0" w:rsidRDefault="00A30A50" w:rsidP="005C7758">
      <w:pPr>
        <w:jc w:val="both"/>
      </w:pPr>
    </w:p>
    <w:sectPr w:rsidR="00A30A50" w:rsidRPr="000A3DF0" w:rsidSect="00A80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25FD"/>
    <w:multiLevelType w:val="hybridMultilevel"/>
    <w:tmpl w:val="12081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F256CEF"/>
    <w:multiLevelType w:val="hybridMultilevel"/>
    <w:tmpl w:val="94F87E36"/>
    <w:lvl w:ilvl="0" w:tplc="04130001">
      <w:start w:val="1"/>
      <w:numFmt w:val="bullet"/>
      <w:lvlText w:val=""/>
      <w:lvlJc w:val="left"/>
      <w:pPr>
        <w:tabs>
          <w:tab w:val="num" w:pos="1421"/>
        </w:tabs>
        <w:ind w:left="1421" w:hanging="360"/>
      </w:pPr>
      <w:rPr>
        <w:rFonts w:ascii="Symbol" w:hAnsi="Symbol" w:hint="default"/>
      </w:rPr>
    </w:lvl>
    <w:lvl w:ilvl="1" w:tplc="04130003" w:tentative="1">
      <w:start w:val="1"/>
      <w:numFmt w:val="bullet"/>
      <w:lvlText w:val="o"/>
      <w:lvlJc w:val="left"/>
      <w:pPr>
        <w:tabs>
          <w:tab w:val="num" w:pos="2141"/>
        </w:tabs>
        <w:ind w:left="2141" w:hanging="360"/>
      </w:pPr>
      <w:rPr>
        <w:rFonts w:ascii="Courier New" w:hAnsi="Courier New" w:cs="Courier New" w:hint="default"/>
      </w:rPr>
    </w:lvl>
    <w:lvl w:ilvl="2" w:tplc="04130005" w:tentative="1">
      <w:start w:val="1"/>
      <w:numFmt w:val="bullet"/>
      <w:lvlText w:val=""/>
      <w:lvlJc w:val="left"/>
      <w:pPr>
        <w:tabs>
          <w:tab w:val="num" w:pos="2861"/>
        </w:tabs>
        <w:ind w:left="2861" w:hanging="360"/>
      </w:pPr>
      <w:rPr>
        <w:rFonts w:ascii="Wingdings" w:hAnsi="Wingdings" w:hint="default"/>
      </w:rPr>
    </w:lvl>
    <w:lvl w:ilvl="3" w:tplc="04130001" w:tentative="1">
      <w:start w:val="1"/>
      <w:numFmt w:val="bullet"/>
      <w:lvlText w:val=""/>
      <w:lvlJc w:val="left"/>
      <w:pPr>
        <w:tabs>
          <w:tab w:val="num" w:pos="3581"/>
        </w:tabs>
        <w:ind w:left="3581" w:hanging="360"/>
      </w:pPr>
      <w:rPr>
        <w:rFonts w:ascii="Symbol" w:hAnsi="Symbol" w:hint="default"/>
      </w:rPr>
    </w:lvl>
    <w:lvl w:ilvl="4" w:tplc="04130003" w:tentative="1">
      <w:start w:val="1"/>
      <w:numFmt w:val="bullet"/>
      <w:lvlText w:val="o"/>
      <w:lvlJc w:val="left"/>
      <w:pPr>
        <w:tabs>
          <w:tab w:val="num" w:pos="4301"/>
        </w:tabs>
        <w:ind w:left="4301" w:hanging="360"/>
      </w:pPr>
      <w:rPr>
        <w:rFonts w:ascii="Courier New" w:hAnsi="Courier New" w:cs="Courier New" w:hint="default"/>
      </w:rPr>
    </w:lvl>
    <w:lvl w:ilvl="5" w:tplc="04130005" w:tentative="1">
      <w:start w:val="1"/>
      <w:numFmt w:val="bullet"/>
      <w:lvlText w:val=""/>
      <w:lvlJc w:val="left"/>
      <w:pPr>
        <w:tabs>
          <w:tab w:val="num" w:pos="5021"/>
        </w:tabs>
        <w:ind w:left="5021" w:hanging="360"/>
      </w:pPr>
      <w:rPr>
        <w:rFonts w:ascii="Wingdings" w:hAnsi="Wingdings" w:hint="default"/>
      </w:rPr>
    </w:lvl>
    <w:lvl w:ilvl="6" w:tplc="04130001" w:tentative="1">
      <w:start w:val="1"/>
      <w:numFmt w:val="bullet"/>
      <w:lvlText w:val=""/>
      <w:lvlJc w:val="left"/>
      <w:pPr>
        <w:tabs>
          <w:tab w:val="num" w:pos="5741"/>
        </w:tabs>
        <w:ind w:left="5741" w:hanging="360"/>
      </w:pPr>
      <w:rPr>
        <w:rFonts w:ascii="Symbol" w:hAnsi="Symbol" w:hint="default"/>
      </w:rPr>
    </w:lvl>
    <w:lvl w:ilvl="7" w:tplc="04130003" w:tentative="1">
      <w:start w:val="1"/>
      <w:numFmt w:val="bullet"/>
      <w:lvlText w:val="o"/>
      <w:lvlJc w:val="left"/>
      <w:pPr>
        <w:tabs>
          <w:tab w:val="num" w:pos="6461"/>
        </w:tabs>
        <w:ind w:left="6461" w:hanging="360"/>
      </w:pPr>
      <w:rPr>
        <w:rFonts w:ascii="Courier New" w:hAnsi="Courier New" w:cs="Courier New" w:hint="default"/>
      </w:rPr>
    </w:lvl>
    <w:lvl w:ilvl="8" w:tplc="04130005" w:tentative="1">
      <w:start w:val="1"/>
      <w:numFmt w:val="bullet"/>
      <w:lvlText w:val=""/>
      <w:lvlJc w:val="left"/>
      <w:pPr>
        <w:tabs>
          <w:tab w:val="num" w:pos="7181"/>
        </w:tabs>
        <w:ind w:left="7181" w:hanging="360"/>
      </w:pPr>
      <w:rPr>
        <w:rFonts w:ascii="Wingdings" w:hAnsi="Wingdings" w:hint="default"/>
      </w:rPr>
    </w:lvl>
  </w:abstractNum>
  <w:abstractNum w:abstractNumId="2">
    <w:nsid w:val="53C872E3"/>
    <w:multiLevelType w:val="hybridMultilevel"/>
    <w:tmpl w:val="E364313C"/>
    <w:lvl w:ilvl="0" w:tplc="7F181E54">
      <w:numFmt w:val="bullet"/>
      <w:lvlText w:val="-"/>
      <w:lvlJc w:val="left"/>
      <w:pPr>
        <w:tabs>
          <w:tab w:val="num" w:pos="1776"/>
        </w:tabs>
        <w:ind w:left="1776" w:hanging="360"/>
      </w:pPr>
      <w:rPr>
        <w:rFonts w:ascii="Times New Roman" w:eastAsia="Times New Roman" w:hAnsi="Times New Roman" w:cs="Times New Roman"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nsid w:val="6C28161F"/>
    <w:multiLevelType w:val="hybridMultilevel"/>
    <w:tmpl w:val="CABA0072"/>
    <w:lvl w:ilvl="0" w:tplc="865CF20E">
      <w:start w:val="2"/>
      <w:numFmt w:val="bullet"/>
      <w:lvlText w:val="-"/>
      <w:lvlJc w:val="left"/>
      <w:pPr>
        <w:ind w:left="1065" w:hanging="360"/>
      </w:pPr>
      <w:rPr>
        <w:rFonts w:ascii="Calibri" w:eastAsiaTheme="minorEastAsia"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compat>
    <w:useFELayout/>
  </w:compat>
  <w:rsids>
    <w:rsidRoot w:val="00C467D5"/>
    <w:rsid w:val="000A3DF0"/>
    <w:rsid w:val="000A4C53"/>
    <w:rsid w:val="00102A35"/>
    <w:rsid w:val="001467C0"/>
    <w:rsid w:val="002C46EA"/>
    <w:rsid w:val="002E4BE5"/>
    <w:rsid w:val="003B6B6A"/>
    <w:rsid w:val="003D5E72"/>
    <w:rsid w:val="0042068E"/>
    <w:rsid w:val="00476004"/>
    <w:rsid w:val="00484387"/>
    <w:rsid w:val="004B2282"/>
    <w:rsid w:val="004C7A85"/>
    <w:rsid w:val="004D4C0F"/>
    <w:rsid w:val="0050207B"/>
    <w:rsid w:val="0053769F"/>
    <w:rsid w:val="005C7758"/>
    <w:rsid w:val="00682FD9"/>
    <w:rsid w:val="006C5AC3"/>
    <w:rsid w:val="00716244"/>
    <w:rsid w:val="00766447"/>
    <w:rsid w:val="0078593C"/>
    <w:rsid w:val="00824270"/>
    <w:rsid w:val="008807E7"/>
    <w:rsid w:val="008A7F04"/>
    <w:rsid w:val="009176A4"/>
    <w:rsid w:val="00944093"/>
    <w:rsid w:val="009926CA"/>
    <w:rsid w:val="00A30A50"/>
    <w:rsid w:val="00A804DE"/>
    <w:rsid w:val="00AF6A4C"/>
    <w:rsid w:val="00C02B3F"/>
    <w:rsid w:val="00C14FFA"/>
    <w:rsid w:val="00C467D5"/>
    <w:rsid w:val="00C51001"/>
    <w:rsid w:val="00C64FCF"/>
    <w:rsid w:val="00D02A9E"/>
    <w:rsid w:val="00D3422A"/>
    <w:rsid w:val="00D67EA7"/>
    <w:rsid w:val="00D92403"/>
    <w:rsid w:val="00DB11FC"/>
    <w:rsid w:val="00DF1E74"/>
    <w:rsid w:val="00E81A21"/>
    <w:rsid w:val="00E87B73"/>
    <w:rsid w:val="00F55992"/>
    <w:rsid w:val="00FE18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282"/>
  </w:style>
  <w:style w:type="paragraph" w:styleId="Kop1">
    <w:name w:val="heading 1"/>
    <w:basedOn w:val="Standaard"/>
    <w:next w:val="Standaard"/>
    <w:link w:val="Kop1Char"/>
    <w:uiPriority w:val="9"/>
    <w:qFormat/>
    <w:rsid w:val="004B2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B2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B228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B228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B228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B22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B2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22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B22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0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B228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B228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B228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B228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B228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B228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B228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B228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B228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B2282"/>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B2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B2282"/>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B2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B228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B2282"/>
    <w:rPr>
      <w:b/>
      <w:bCs/>
    </w:rPr>
  </w:style>
  <w:style w:type="character" w:styleId="Nadruk">
    <w:name w:val="Emphasis"/>
    <w:basedOn w:val="Standaardalinea-lettertype"/>
    <w:uiPriority w:val="20"/>
    <w:qFormat/>
    <w:rsid w:val="004B2282"/>
    <w:rPr>
      <w:i/>
      <w:iCs/>
    </w:rPr>
  </w:style>
  <w:style w:type="paragraph" w:styleId="Geenafstand">
    <w:name w:val="No Spacing"/>
    <w:uiPriority w:val="1"/>
    <w:qFormat/>
    <w:rsid w:val="004B2282"/>
    <w:pPr>
      <w:spacing w:after="0" w:line="240" w:lineRule="auto"/>
    </w:pPr>
  </w:style>
  <w:style w:type="paragraph" w:styleId="Lijstalinea">
    <w:name w:val="List Paragraph"/>
    <w:basedOn w:val="Standaard"/>
    <w:uiPriority w:val="34"/>
    <w:qFormat/>
    <w:rsid w:val="004B2282"/>
    <w:pPr>
      <w:ind w:left="720"/>
      <w:contextualSpacing/>
    </w:pPr>
  </w:style>
  <w:style w:type="paragraph" w:styleId="Citaat">
    <w:name w:val="Quote"/>
    <w:basedOn w:val="Standaard"/>
    <w:next w:val="Standaard"/>
    <w:link w:val="CitaatChar"/>
    <w:uiPriority w:val="29"/>
    <w:qFormat/>
    <w:rsid w:val="004B2282"/>
    <w:rPr>
      <w:i/>
      <w:iCs/>
      <w:color w:val="000000" w:themeColor="text1"/>
    </w:rPr>
  </w:style>
  <w:style w:type="character" w:customStyle="1" w:styleId="CitaatChar">
    <w:name w:val="Citaat Char"/>
    <w:basedOn w:val="Standaardalinea-lettertype"/>
    <w:link w:val="Citaat"/>
    <w:uiPriority w:val="29"/>
    <w:rsid w:val="004B2282"/>
    <w:rPr>
      <w:i/>
      <w:iCs/>
      <w:color w:val="000000" w:themeColor="text1"/>
    </w:rPr>
  </w:style>
  <w:style w:type="paragraph" w:styleId="Duidelijkcitaat">
    <w:name w:val="Intense Quote"/>
    <w:basedOn w:val="Standaard"/>
    <w:next w:val="Standaard"/>
    <w:link w:val="DuidelijkcitaatChar"/>
    <w:uiPriority w:val="30"/>
    <w:qFormat/>
    <w:rsid w:val="004B228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B2282"/>
    <w:rPr>
      <w:b/>
      <w:bCs/>
      <w:i/>
      <w:iCs/>
      <w:color w:val="4F81BD" w:themeColor="accent1"/>
    </w:rPr>
  </w:style>
  <w:style w:type="character" w:styleId="Subtielebenadrukking">
    <w:name w:val="Subtle Emphasis"/>
    <w:basedOn w:val="Standaardalinea-lettertype"/>
    <w:uiPriority w:val="19"/>
    <w:qFormat/>
    <w:rsid w:val="004B2282"/>
    <w:rPr>
      <w:i/>
      <w:iCs/>
      <w:color w:val="808080" w:themeColor="text1" w:themeTint="7F"/>
    </w:rPr>
  </w:style>
  <w:style w:type="character" w:styleId="Intensievebenadrukking">
    <w:name w:val="Intense Emphasis"/>
    <w:basedOn w:val="Standaardalinea-lettertype"/>
    <w:uiPriority w:val="21"/>
    <w:qFormat/>
    <w:rsid w:val="004B2282"/>
    <w:rPr>
      <w:b/>
      <w:bCs/>
      <w:i/>
      <w:iCs/>
      <w:color w:val="4F81BD" w:themeColor="accent1"/>
    </w:rPr>
  </w:style>
  <w:style w:type="character" w:styleId="Subtieleverwijzing">
    <w:name w:val="Subtle Reference"/>
    <w:basedOn w:val="Standaardalinea-lettertype"/>
    <w:uiPriority w:val="31"/>
    <w:qFormat/>
    <w:rsid w:val="004B2282"/>
    <w:rPr>
      <w:smallCaps/>
      <w:color w:val="C0504D" w:themeColor="accent2"/>
      <w:u w:val="single"/>
    </w:rPr>
  </w:style>
  <w:style w:type="character" w:styleId="Intensieveverwijzing">
    <w:name w:val="Intense Reference"/>
    <w:basedOn w:val="Standaardalinea-lettertype"/>
    <w:uiPriority w:val="32"/>
    <w:qFormat/>
    <w:rsid w:val="004B2282"/>
    <w:rPr>
      <w:b/>
      <w:bCs/>
      <w:smallCaps/>
      <w:color w:val="C0504D" w:themeColor="accent2"/>
      <w:spacing w:val="5"/>
      <w:u w:val="single"/>
    </w:rPr>
  </w:style>
  <w:style w:type="character" w:styleId="Titelvanboek">
    <w:name w:val="Book Title"/>
    <w:basedOn w:val="Standaardalinea-lettertype"/>
    <w:uiPriority w:val="33"/>
    <w:qFormat/>
    <w:rsid w:val="004B2282"/>
    <w:rPr>
      <w:b/>
      <w:bCs/>
      <w:smallCaps/>
      <w:spacing w:val="5"/>
    </w:rPr>
  </w:style>
  <w:style w:type="paragraph" w:styleId="Kopvaninhoudsopgave">
    <w:name w:val="TOC Heading"/>
    <w:basedOn w:val="Kop1"/>
    <w:next w:val="Standaard"/>
    <w:uiPriority w:val="39"/>
    <w:semiHidden/>
    <w:unhideWhenUsed/>
    <w:qFormat/>
    <w:rsid w:val="004B2282"/>
    <w:pPr>
      <w:outlineLvl w:val="9"/>
    </w:pPr>
  </w:style>
  <w:style w:type="character" w:styleId="Tekstvantijdelijkeaanduiding">
    <w:name w:val="Placeholder Text"/>
    <w:basedOn w:val="Standaardalinea-lettertype"/>
    <w:uiPriority w:val="99"/>
    <w:semiHidden/>
    <w:rsid w:val="00C51001"/>
    <w:rPr>
      <w:color w:val="808080"/>
    </w:rPr>
  </w:style>
  <w:style w:type="paragraph" w:styleId="Ballontekst">
    <w:name w:val="Balloon Text"/>
    <w:basedOn w:val="Standaard"/>
    <w:link w:val="BallontekstChar"/>
    <w:rsid w:val="00C510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51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8768">
      <w:bodyDiv w:val="1"/>
      <w:marLeft w:val="0"/>
      <w:marRight w:val="0"/>
      <w:marTop w:val="0"/>
      <w:marBottom w:val="0"/>
      <w:divBdr>
        <w:top w:val="none" w:sz="0" w:space="0" w:color="auto"/>
        <w:left w:val="none" w:sz="0" w:space="0" w:color="auto"/>
        <w:bottom w:val="none" w:sz="0" w:space="0" w:color="auto"/>
        <w:right w:val="none" w:sz="0" w:space="0" w:color="auto"/>
      </w:divBdr>
    </w:div>
    <w:div w:id="73741129">
      <w:bodyDiv w:val="1"/>
      <w:marLeft w:val="0"/>
      <w:marRight w:val="0"/>
      <w:marTop w:val="0"/>
      <w:marBottom w:val="0"/>
      <w:divBdr>
        <w:top w:val="none" w:sz="0" w:space="0" w:color="auto"/>
        <w:left w:val="none" w:sz="0" w:space="0" w:color="auto"/>
        <w:bottom w:val="none" w:sz="0" w:space="0" w:color="auto"/>
        <w:right w:val="none" w:sz="0" w:space="0" w:color="auto"/>
      </w:divBdr>
    </w:div>
    <w:div w:id="134220360">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295988696">
      <w:bodyDiv w:val="1"/>
      <w:marLeft w:val="0"/>
      <w:marRight w:val="0"/>
      <w:marTop w:val="0"/>
      <w:marBottom w:val="0"/>
      <w:divBdr>
        <w:top w:val="none" w:sz="0" w:space="0" w:color="auto"/>
        <w:left w:val="none" w:sz="0" w:space="0" w:color="auto"/>
        <w:bottom w:val="none" w:sz="0" w:space="0" w:color="auto"/>
        <w:right w:val="none" w:sz="0" w:space="0" w:color="auto"/>
      </w:divBdr>
    </w:div>
    <w:div w:id="559635924">
      <w:bodyDiv w:val="1"/>
      <w:marLeft w:val="0"/>
      <w:marRight w:val="0"/>
      <w:marTop w:val="0"/>
      <w:marBottom w:val="0"/>
      <w:divBdr>
        <w:top w:val="none" w:sz="0" w:space="0" w:color="auto"/>
        <w:left w:val="none" w:sz="0" w:space="0" w:color="auto"/>
        <w:bottom w:val="none" w:sz="0" w:space="0" w:color="auto"/>
        <w:right w:val="none" w:sz="0" w:space="0" w:color="auto"/>
      </w:divBdr>
    </w:div>
    <w:div w:id="597130921">
      <w:bodyDiv w:val="1"/>
      <w:marLeft w:val="0"/>
      <w:marRight w:val="0"/>
      <w:marTop w:val="0"/>
      <w:marBottom w:val="0"/>
      <w:divBdr>
        <w:top w:val="none" w:sz="0" w:space="0" w:color="auto"/>
        <w:left w:val="none" w:sz="0" w:space="0" w:color="auto"/>
        <w:bottom w:val="none" w:sz="0" w:space="0" w:color="auto"/>
        <w:right w:val="none" w:sz="0" w:space="0" w:color="auto"/>
      </w:divBdr>
    </w:div>
    <w:div w:id="824396201">
      <w:bodyDiv w:val="1"/>
      <w:marLeft w:val="0"/>
      <w:marRight w:val="0"/>
      <w:marTop w:val="0"/>
      <w:marBottom w:val="0"/>
      <w:divBdr>
        <w:top w:val="none" w:sz="0" w:space="0" w:color="auto"/>
        <w:left w:val="none" w:sz="0" w:space="0" w:color="auto"/>
        <w:bottom w:val="none" w:sz="0" w:space="0" w:color="auto"/>
        <w:right w:val="none" w:sz="0" w:space="0" w:color="auto"/>
      </w:divBdr>
    </w:div>
    <w:div w:id="1039280344">
      <w:bodyDiv w:val="1"/>
      <w:marLeft w:val="0"/>
      <w:marRight w:val="0"/>
      <w:marTop w:val="0"/>
      <w:marBottom w:val="0"/>
      <w:divBdr>
        <w:top w:val="none" w:sz="0" w:space="0" w:color="auto"/>
        <w:left w:val="none" w:sz="0" w:space="0" w:color="auto"/>
        <w:bottom w:val="none" w:sz="0" w:space="0" w:color="auto"/>
        <w:right w:val="none" w:sz="0" w:space="0" w:color="auto"/>
      </w:divBdr>
    </w:div>
    <w:div w:id="1082796660">
      <w:bodyDiv w:val="1"/>
      <w:marLeft w:val="0"/>
      <w:marRight w:val="0"/>
      <w:marTop w:val="0"/>
      <w:marBottom w:val="0"/>
      <w:divBdr>
        <w:top w:val="none" w:sz="0" w:space="0" w:color="auto"/>
        <w:left w:val="none" w:sz="0" w:space="0" w:color="auto"/>
        <w:bottom w:val="none" w:sz="0" w:space="0" w:color="auto"/>
        <w:right w:val="none" w:sz="0" w:space="0" w:color="auto"/>
      </w:divBdr>
    </w:div>
    <w:div w:id="1104495483">
      <w:bodyDiv w:val="1"/>
      <w:marLeft w:val="0"/>
      <w:marRight w:val="0"/>
      <w:marTop w:val="0"/>
      <w:marBottom w:val="0"/>
      <w:divBdr>
        <w:top w:val="none" w:sz="0" w:space="0" w:color="auto"/>
        <w:left w:val="none" w:sz="0" w:space="0" w:color="auto"/>
        <w:bottom w:val="none" w:sz="0" w:space="0" w:color="auto"/>
        <w:right w:val="none" w:sz="0" w:space="0" w:color="auto"/>
      </w:divBdr>
    </w:div>
    <w:div w:id="1202791455">
      <w:bodyDiv w:val="1"/>
      <w:marLeft w:val="0"/>
      <w:marRight w:val="0"/>
      <w:marTop w:val="0"/>
      <w:marBottom w:val="0"/>
      <w:divBdr>
        <w:top w:val="none" w:sz="0" w:space="0" w:color="auto"/>
        <w:left w:val="none" w:sz="0" w:space="0" w:color="auto"/>
        <w:bottom w:val="none" w:sz="0" w:space="0" w:color="auto"/>
        <w:right w:val="none" w:sz="0" w:space="0" w:color="auto"/>
      </w:divBdr>
    </w:div>
    <w:div w:id="1410884581">
      <w:bodyDiv w:val="1"/>
      <w:marLeft w:val="0"/>
      <w:marRight w:val="0"/>
      <w:marTop w:val="0"/>
      <w:marBottom w:val="0"/>
      <w:divBdr>
        <w:top w:val="none" w:sz="0" w:space="0" w:color="auto"/>
        <w:left w:val="none" w:sz="0" w:space="0" w:color="auto"/>
        <w:bottom w:val="none" w:sz="0" w:space="0" w:color="auto"/>
        <w:right w:val="none" w:sz="0" w:space="0" w:color="auto"/>
      </w:divBdr>
    </w:div>
    <w:div w:id="1411806714">
      <w:bodyDiv w:val="1"/>
      <w:marLeft w:val="0"/>
      <w:marRight w:val="0"/>
      <w:marTop w:val="0"/>
      <w:marBottom w:val="0"/>
      <w:divBdr>
        <w:top w:val="none" w:sz="0" w:space="0" w:color="auto"/>
        <w:left w:val="none" w:sz="0" w:space="0" w:color="auto"/>
        <w:bottom w:val="none" w:sz="0" w:space="0" w:color="auto"/>
        <w:right w:val="none" w:sz="0" w:space="0" w:color="auto"/>
      </w:divBdr>
    </w:div>
    <w:div w:id="1510563095">
      <w:bodyDiv w:val="1"/>
      <w:marLeft w:val="0"/>
      <w:marRight w:val="0"/>
      <w:marTop w:val="0"/>
      <w:marBottom w:val="0"/>
      <w:divBdr>
        <w:top w:val="none" w:sz="0" w:space="0" w:color="auto"/>
        <w:left w:val="none" w:sz="0" w:space="0" w:color="auto"/>
        <w:bottom w:val="none" w:sz="0" w:space="0" w:color="auto"/>
        <w:right w:val="none" w:sz="0" w:space="0" w:color="auto"/>
      </w:divBdr>
    </w:div>
    <w:div w:id="1727726064">
      <w:bodyDiv w:val="1"/>
      <w:marLeft w:val="0"/>
      <w:marRight w:val="0"/>
      <w:marTop w:val="0"/>
      <w:marBottom w:val="0"/>
      <w:divBdr>
        <w:top w:val="none" w:sz="0" w:space="0" w:color="auto"/>
        <w:left w:val="none" w:sz="0" w:space="0" w:color="auto"/>
        <w:bottom w:val="none" w:sz="0" w:space="0" w:color="auto"/>
        <w:right w:val="none" w:sz="0" w:space="0" w:color="auto"/>
      </w:divBdr>
    </w:div>
    <w:div w:id="1760905326">
      <w:bodyDiv w:val="1"/>
      <w:marLeft w:val="0"/>
      <w:marRight w:val="0"/>
      <w:marTop w:val="0"/>
      <w:marBottom w:val="0"/>
      <w:divBdr>
        <w:top w:val="none" w:sz="0" w:space="0" w:color="auto"/>
        <w:left w:val="none" w:sz="0" w:space="0" w:color="auto"/>
        <w:bottom w:val="none" w:sz="0" w:space="0" w:color="auto"/>
        <w:right w:val="none" w:sz="0" w:space="0" w:color="auto"/>
      </w:divBdr>
    </w:div>
    <w:div w:id="1841776881">
      <w:bodyDiv w:val="1"/>
      <w:marLeft w:val="0"/>
      <w:marRight w:val="0"/>
      <w:marTop w:val="0"/>
      <w:marBottom w:val="0"/>
      <w:divBdr>
        <w:top w:val="none" w:sz="0" w:space="0" w:color="auto"/>
        <w:left w:val="none" w:sz="0" w:space="0" w:color="auto"/>
        <w:bottom w:val="none" w:sz="0" w:space="0" w:color="auto"/>
        <w:right w:val="none" w:sz="0" w:space="0" w:color="auto"/>
      </w:divBdr>
    </w:div>
    <w:div w:id="1854564058">
      <w:bodyDiv w:val="1"/>
      <w:marLeft w:val="0"/>
      <w:marRight w:val="0"/>
      <w:marTop w:val="0"/>
      <w:marBottom w:val="0"/>
      <w:divBdr>
        <w:top w:val="none" w:sz="0" w:space="0" w:color="auto"/>
        <w:left w:val="none" w:sz="0" w:space="0" w:color="auto"/>
        <w:bottom w:val="none" w:sz="0" w:space="0" w:color="auto"/>
        <w:right w:val="none" w:sz="0" w:space="0" w:color="auto"/>
      </w:divBdr>
    </w:div>
    <w:div w:id="1855026807">
      <w:bodyDiv w:val="1"/>
      <w:marLeft w:val="0"/>
      <w:marRight w:val="0"/>
      <w:marTop w:val="0"/>
      <w:marBottom w:val="0"/>
      <w:divBdr>
        <w:top w:val="none" w:sz="0" w:space="0" w:color="auto"/>
        <w:left w:val="none" w:sz="0" w:space="0" w:color="auto"/>
        <w:bottom w:val="none" w:sz="0" w:space="0" w:color="auto"/>
        <w:right w:val="none" w:sz="0" w:space="0" w:color="auto"/>
      </w:divBdr>
    </w:div>
    <w:div w:id="1862009551">
      <w:bodyDiv w:val="1"/>
      <w:marLeft w:val="0"/>
      <w:marRight w:val="0"/>
      <w:marTop w:val="0"/>
      <w:marBottom w:val="0"/>
      <w:divBdr>
        <w:top w:val="none" w:sz="0" w:space="0" w:color="auto"/>
        <w:left w:val="none" w:sz="0" w:space="0" w:color="auto"/>
        <w:bottom w:val="none" w:sz="0" w:space="0" w:color="auto"/>
        <w:right w:val="none" w:sz="0" w:space="0" w:color="auto"/>
      </w:divBdr>
    </w:div>
    <w:div w:id="20658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Martijn Wehrens</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Martijn Wehrens</dc:title>
  <dc:subject/>
  <dc:creator>M</dc:creator>
  <cp:keywords/>
  <dc:description/>
  <cp:lastModifiedBy>Martijn Wehrens</cp:lastModifiedBy>
  <cp:revision>9</cp:revision>
  <dcterms:created xsi:type="dcterms:W3CDTF">2009-10-22T11:14:00Z</dcterms:created>
  <dcterms:modified xsi:type="dcterms:W3CDTF">2009-10-22T18:23:00Z</dcterms:modified>
</cp:coreProperties>
</file>